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66" w:rsidRPr="00A24A34" w:rsidRDefault="00A24A34" w:rsidP="00A24A34">
      <w:pPr>
        <w:jc w:val="center"/>
        <w:rPr>
          <w:b/>
          <w:sz w:val="48"/>
        </w:rPr>
      </w:pPr>
      <w:r w:rsidRPr="00A24A34">
        <w:rPr>
          <w:b/>
          <w:i/>
          <w:sz w:val="48"/>
        </w:rPr>
        <w:t>REQUIRED</w:t>
      </w:r>
      <w:r w:rsidRPr="00A24A34">
        <w:rPr>
          <w:b/>
          <w:sz w:val="48"/>
        </w:rPr>
        <w:t xml:space="preserve"> Bank Lobby Signage</w:t>
      </w:r>
    </w:p>
    <w:p w:rsidR="00061B59" w:rsidRDefault="00061B59" w:rsidP="00061B59"/>
    <w:p w:rsidR="00061B59" w:rsidRDefault="00061B59" w:rsidP="00061B59">
      <w:pPr>
        <w:rPr>
          <w:b/>
        </w:rPr>
      </w:pPr>
    </w:p>
    <w:p w:rsidR="00BF4A76" w:rsidRPr="00BF4A76" w:rsidRDefault="00AF4FD8" w:rsidP="00061B59">
      <w:pPr>
        <w:rPr>
          <w:b/>
          <w:sz w:val="32"/>
        </w:rPr>
      </w:pPr>
      <w:r>
        <w:rPr>
          <w:noProof/>
        </w:rPr>
        <w:drawing>
          <wp:inline distT="0" distB="0" distL="0" distR="0">
            <wp:extent cx="370114" cy="229829"/>
            <wp:effectExtent l="0" t="0" r="0" b="0"/>
            <wp:docPr id="3" name="Picture 3" descr="https://images.creativemarket.com/0.1.0/ps/1652957/6792/3656/m1/fpnw/wm1/american-flag-.jpg?1473760532&amp;s=8ff7bab90a57b218e76e2b234a28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creativemarket.com/0.1.0/ps/1652957/6792/3656/m1/fpnw/wm1/american-flag-.jpg?1473760532&amp;s=8ff7bab90a57b218e76e2b234a2878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276" cy="234897"/>
                    </a:xfrm>
                    <a:prstGeom prst="rect">
                      <a:avLst/>
                    </a:prstGeom>
                    <a:noFill/>
                    <a:ln>
                      <a:noFill/>
                    </a:ln>
                  </pic:spPr>
                </pic:pic>
              </a:graphicData>
            </a:graphic>
          </wp:inline>
        </w:drawing>
      </w:r>
      <w:r>
        <w:rPr>
          <w:b/>
          <w:sz w:val="32"/>
        </w:rPr>
        <w:t xml:space="preserve"> </w:t>
      </w:r>
      <w:r w:rsidR="00BF4A76" w:rsidRPr="00BF4A76">
        <w:rPr>
          <w:b/>
          <w:sz w:val="32"/>
        </w:rPr>
        <w:t>Federal Notices/Disclosures:</w:t>
      </w:r>
    </w:p>
    <w:p w:rsidR="00BF4A76" w:rsidRDefault="00BF4A76" w:rsidP="00061B59">
      <w:pPr>
        <w:rPr>
          <w:b/>
        </w:rPr>
      </w:pPr>
    </w:p>
    <w:p w:rsidR="00461C9D" w:rsidRDefault="00461C9D" w:rsidP="00E5552C">
      <w:r w:rsidRPr="00E2674F">
        <w:rPr>
          <w:b/>
        </w:rPr>
        <w:t>Community Reinvestment Act (CRA) Notice:</w:t>
      </w:r>
      <w:r w:rsidRPr="00A24A34">
        <w:t xml:space="preserve">  </w:t>
      </w:r>
      <w:r w:rsidR="002F768D">
        <w:t xml:space="preserve">Per </w:t>
      </w:r>
      <w:hyperlink r:id="rId8" w:anchor="se12.3.228_144" w:history="1">
        <w:r w:rsidR="002F768D" w:rsidRPr="00C10DA9">
          <w:rPr>
            <w:rStyle w:val="Hyperlink"/>
            <w:bCs/>
            <w:color w:val="auto"/>
            <w:u w:val="none"/>
          </w:rPr>
          <w:t>12 CFR §228.44</w:t>
        </w:r>
      </w:hyperlink>
      <w:r w:rsidR="002F768D" w:rsidRPr="002F768D">
        <w:rPr>
          <w:rStyle w:val="Hyperlink"/>
          <w:bCs/>
          <w:color w:val="auto"/>
          <w:u w:val="none"/>
        </w:rPr>
        <w:t>,</w:t>
      </w:r>
      <w:r w:rsidR="002F768D" w:rsidRPr="00C10DA9">
        <w:rPr>
          <w:bCs/>
        </w:rPr>
        <w:t xml:space="preserve"> </w:t>
      </w:r>
      <w:r w:rsidR="00C10DA9" w:rsidRPr="00C10DA9">
        <w:rPr>
          <w:bCs/>
        </w:rPr>
        <w:t>a</w:t>
      </w:r>
      <w:r w:rsidR="002F768D" w:rsidRPr="00C10DA9">
        <w:t xml:space="preserve"> </w:t>
      </w:r>
      <w:r w:rsidR="002F768D" w:rsidRPr="00A72E7D">
        <w:t xml:space="preserve">bank shall </w:t>
      </w:r>
      <w:r w:rsidR="002F768D" w:rsidRPr="00CF0324">
        <w:rPr>
          <w:b/>
          <w:highlight w:val="green"/>
        </w:rPr>
        <w:t>provide i</w:t>
      </w:r>
      <w:r w:rsidR="002F768D" w:rsidRPr="00E2674F">
        <w:rPr>
          <w:b/>
          <w:highlight w:val="green"/>
        </w:rPr>
        <w:t>n the public lobby</w:t>
      </w:r>
      <w:r w:rsidR="002F768D" w:rsidRPr="00A72E7D">
        <w:t xml:space="preserve"> of its main office </w:t>
      </w:r>
      <w:r w:rsidR="002F768D" w:rsidRPr="00E2674F">
        <w:rPr>
          <w:b/>
          <w:i/>
          <w:highlight w:val="green"/>
        </w:rPr>
        <w:t>and</w:t>
      </w:r>
      <w:r w:rsidR="002F768D" w:rsidRPr="00E2674F">
        <w:rPr>
          <w:highlight w:val="green"/>
        </w:rPr>
        <w:t xml:space="preserve"> </w:t>
      </w:r>
      <w:r w:rsidR="002F768D" w:rsidRPr="00CF0324">
        <w:rPr>
          <w:b/>
          <w:highlight w:val="green"/>
        </w:rPr>
        <w:t>each of its branches</w:t>
      </w:r>
      <w:r w:rsidR="002F768D" w:rsidRPr="00A72E7D">
        <w:t xml:space="preserve"> the appropriate public notice set forth in </w:t>
      </w:r>
      <w:hyperlink r:id="rId9" w:anchor="ap12.3.228.0000_0nbspnbspnbsp.b" w:history="1">
        <w:r w:rsidR="002F768D" w:rsidRPr="00C10DA9">
          <w:rPr>
            <w:rStyle w:val="Hyperlink"/>
            <w:color w:val="auto"/>
            <w:u w:val="none"/>
          </w:rPr>
          <w:t>appendix B</w:t>
        </w:r>
      </w:hyperlink>
      <w:r w:rsidR="00C10DA9">
        <w:t>.</w:t>
      </w:r>
    </w:p>
    <w:p w:rsidR="00F06978" w:rsidRDefault="00F06978" w:rsidP="00E5552C"/>
    <w:p w:rsidR="00C10DA9" w:rsidRDefault="00C10DA9" w:rsidP="00E5552C">
      <w:r>
        <w:t xml:space="preserve">For </w:t>
      </w:r>
      <w:r w:rsidRPr="00A87307">
        <w:rPr>
          <w:b/>
        </w:rPr>
        <w:t>the main office</w:t>
      </w:r>
      <w:r>
        <w:t>, the notice shall read:</w:t>
      </w:r>
    </w:p>
    <w:p w:rsidR="00C10DA9" w:rsidRDefault="00C10DA9" w:rsidP="00E5552C"/>
    <w:p w:rsidR="002F768D" w:rsidRDefault="002F768D" w:rsidP="00C10DA9">
      <w:pPr>
        <w:pStyle w:val="Heading1"/>
        <w:spacing w:before="0"/>
        <w:ind w:left="360"/>
        <w:jc w:val="center"/>
        <w:rPr>
          <w:rFonts w:ascii="Arial" w:hAnsi="Arial" w:cs="Arial"/>
          <w:b w:val="0"/>
          <w:bCs w:val="0"/>
          <w:smallCaps/>
          <w:sz w:val="20"/>
          <w:szCs w:val="20"/>
        </w:rPr>
      </w:pPr>
      <w:r>
        <w:rPr>
          <w:rFonts w:ascii="Arial" w:hAnsi="Arial" w:cs="Arial"/>
          <w:b w:val="0"/>
          <w:bCs w:val="0"/>
          <w:smallCaps/>
        </w:rPr>
        <w:t>Community Reinvestment Act Notice</w:t>
      </w:r>
    </w:p>
    <w:p w:rsidR="002F768D" w:rsidRDefault="002F768D" w:rsidP="00C10DA9">
      <w:pPr>
        <w:pStyle w:val="NormalWeb"/>
        <w:spacing w:before="0" w:beforeAutospacing="0" w:after="0" w:afterAutospacing="0"/>
        <w:ind w:left="360" w:firstLine="0"/>
        <w:rPr>
          <w:rFonts w:ascii="Arial" w:hAnsi="Arial" w:cs="Arial"/>
          <w:sz w:val="20"/>
          <w:szCs w:val="20"/>
        </w:rPr>
      </w:pPr>
    </w:p>
    <w:p w:rsidR="002F768D" w:rsidRDefault="002F768D" w:rsidP="00A042D0">
      <w:pPr>
        <w:pStyle w:val="NormalWeb"/>
        <w:spacing w:before="0" w:beforeAutospacing="0" w:after="0" w:afterAutospacing="0"/>
        <w:ind w:left="360" w:firstLine="360"/>
        <w:rPr>
          <w:rFonts w:ascii="Arial" w:hAnsi="Arial" w:cs="Arial"/>
          <w:sz w:val="20"/>
          <w:szCs w:val="20"/>
        </w:rPr>
      </w:pPr>
      <w:r>
        <w:rPr>
          <w:rFonts w:ascii="Arial" w:hAnsi="Arial" w:cs="Arial"/>
          <w:sz w:val="20"/>
          <w:szCs w:val="20"/>
        </w:rPr>
        <w:t>Under the Federal Community Reinvestment Act (CRA), the Federal Reserve Board (Board) evaluates our record of helping to meet the credit needs of this community consistent with safe and sound operations.  The Board also takes this record into account when deciding on certain applications submitted by us.</w:t>
      </w:r>
    </w:p>
    <w:p w:rsidR="002F768D" w:rsidRDefault="002F768D" w:rsidP="00C10DA9">
      <w:pPr>
        <w:pStyle w:val="NormalWeb"/>
        <w:spacing w:before="0" w:beforeAutospacing="0" w:after="0" w:afterAutospacing="0"/>
        <w:ind w:left="360" w:firstLine="360"/>
        <w:rPr>
          <w:rFonts w:ascii="Arial" w:hAnsi="Arial" w:cs="Arial"/>
          <w:sz w:val="20"/>
          <w:szCs w:val="20"/>
        </w:rPr>
      </w:pPr>
    </w:p>
    <w:p w:rsidR="002F768D" w:rsidRDefault="002F768D" w:rsidP="00C10DA9">
      <w:pPr>
        <w:pStyle w:val="NormalWeb"/>
        <w:spacing w:before="0" w:beforeAutospacing="0" w:after="0" w:afterAutospacing="0"/>
        <w:ind w:left="360" w:firstLine="360"/>
        <w:rPr>
          <w:rFonts w:ascii="Arial" w:hAnsi="Arial" w:cs="Arial"/>
          <w:sz w:val="20"/>
          <w:szCs w:val="20"/>
        </w:rPr>
      </w:pPr>
      <w:r>
        <w:rPr>
          <w:rFonts w:ascii="Arial" w:hAnsi="Arial" w:cs="Arial"/>
          <w:sz w:val="20"/>
          <w:szCs w:val="20"/>
        </w:rPr>
        <w:t>Your involvement is encouraged.</w:t>
      </w:r>
    </w:p>
    <w:p w:rsidR="002F768D" w:rsidRDefault="002F768D" w:rsidP="00C10DA9">
      <w:pPr>
        <w:pStyle w:val="NormalWeb"/>
        <w:spacing w:before="0" w:beforeAutospacing="0" w:after="0" w:afterAutospacing="0"/>
        <w:ind w:left="360" w:firstLine="360"/>
        <w:rPr>
          <w:rFonts w:ascii="Arial" w:hAnsi="Arial" w:cs="Arial"/>
          <w:sz w:val="20"/>
          <w:szCs w:val="20"/>
        </w:rPr>
      </w:pPr>
    </w:p>
    <w:p w:rsidR="002F768D" w:rsidRDefault="002F768D" w:rsidP="00A042D0">
      <w:pPr>
        <w:pStyle w:val="NormalWeb"/>
        <w:spacing w:before="0" w:beforeAutospacing="0" w:after="0" w:afterAutospacing="0"/>
        <w:ind w:left="360" w:firstLine="360"/>
        <w:rPr>
          <w:rFonts w:ascii="Arial" w:hAnsi="Arial" w:cs="Arial"/>
          <w:sz w:val="20"/>
          <w:szCs w:val="20"/>
        </w:rPr>
      </w:pPr>
      <w:r>
        <w:rPr>
          <w:rFonts w:ascii="Arial" w:hAnsi="Arial" w:cs="Arial"/>
          <w:sz w:val="20"/>
          <w:szCs w:val="20"/>
        </w:rPr>
        <w:t>You are entitled to certain information about our operations and our performance under the CRA, including, for example, information about our branches, such as their location and services provided at them; the public section of our most recent CRA Performance Evaluation, prepared by the Federal Reserve Bank of Dallas (Reserve Bank); and comments received from the public relating to our performance in helping to meet community credit needs, as well as our responses to those comments.  You may review this information today.</w:t>
      </w:r>
    </w:p>
    <w:p w:rsidR="002F768D" w:rsidRDefault="002F768D" w:rsidP="00A042D0">
      <w:pPr>
        <w:pStyle w:val="NormalWeb"/>
        <w:spacing w:before="0" w:beforeAutospacing="0" w:after="0" w:afterAutospacing="0"/>
        <w:ind w:left="360" w:firstLine="360"/>
        <w:rPr>
          <w:rFonts w:ascii="Arial" w:hAnsi="Arial" w:cs="Arial"/>
          <w:sz w:val="20"/>
          <w:szCs w:val="20"/>
        </w:rPr>
      </w:pPr>
    </w:p>
    <w:p w:rsidR="002F768D" w:rsidRDefault="002F768D" w:rsidP="00A042D0">
      <w:pPr>
        <w:pStyle w:val="NormalWeb"/>
        <w:spacing w:before="0" w:beforeAutospacing="0" w:after="0" w:afterAutospacing="0"/>
        <w:ind w:left="360" w:firstLine="360"/>
        <w:rPr>
          <w:rFonts w:ascii="Arial" w:hAnsi="Arial" w:cs="Arial"/>
          <w:sz w:val="20"/>
          <w:szCs w:val="20"/>
        </w:rPr>
      </w:pPr>
      <w:r>
        <w:rPr>
          <w:rFonts w:ascii="Arial" w:hAnsi="Arial" w:cs="Arial"/>
          <w:sz w:val="20"/>
          <w:szCs w:val="20"/>
        </w:rPr>
        <w:t>At least 30 days before the beginning of each quarter, the Federal Reserve System publishes a list of the banks that are scheduled for CRA examination by the Reserve Bank in that quarter.  This list is available from the Officer in Charge of Supervision, Federal Reserve Bank of Dallas (2200 N Pearl St, Dallas, TX  75201-2272 or PO Box 655906, Dallas, TX  75265-5906).  You may send written comments about our performance in helping to meet community credit needs to J. Raymond David, Sr., Chief Executive Officer, c/o PointBank, PO Box 278, Pilot Point, TX  76258, and the Officer in Charge of Supervision, Federal Reserve Bank of Dallas (2200 N Pearl St, Dallas, TX  75201-2272 or PO Box 655906, Dallas, TX  75265-5906).  Your letter, together with any response by us, will be considered by the Federal Reserve System in evaluating our CRA performance and may be made public.</w:t>
      </w:r>
    </w:p>
    <w:p w:rsidR="002F768D" w:rsidRDefault="002F768D" w:rsidP="00A042D0">
      <w:pPr>
        <w:pStyle w:val="NormalWeb"/>
        <w:spacing w:before="0" w:beforeAutospacing="0" w:after="0" w:afterAutospacing="0"/>
        <w:ind w:left="360" w:firstLine="360"/>
        <w:rPr>
          <w:rFonts w:ascii="Arial" w:hAnsi="Arial" w:cs="Arial"/>
          <w:sz w:val="20"/>
          <w:szCs w:val="20"/>
        </w:rPr>
      </w:pPr>
    </w:p>
    <w:p w:rsidR="002F768D" w:rsidRDefault="002F768D" w:rsidP="00A042D0">
      <w:pPr>
        <w:ind w:left="360"/>
      </w:pPr>
      <w:r>
        <w:rPr>
          <w:rFonts w:ascii="Arial" w:hAnsi="Arial" w:cs="Arial"/>
          <w:sz w:val="20"/>
          <w:szCs w:val="20"/>
        </w:rPr>
        <w:t>You may ask to look at any comments received by the Reserve Bank.  You may also request from the Reserve Bank an announcement of our applications covered by the CRA filed with the Reserve Bank.  We are an affiliate of Pilot Point Bancorp, Inc., a bank holding company.  You may request from the Officer in Charge of Supervision, Federal Reserve Bank of Dallas (2200 N Pearl St, Dallas, TX  75201-2272 or PO Box 655906, Dallas, TX  75265-5906) an announcement of applications covered by the CRA filed by bank holding companies.</w:t>
      </w:r>
    </w:p>
    <w:p w:rsidR="002F768D" w:rsidRDefault="002F768D" w:rsidP="00E5552C"/>
    <w:p w:rsidR="00D74AF2" w:rsidRDefault="00D74AF2" w:rsidP="00E5552C"/>
    <w:p w:rsidR="00D74AF2" w:rsidRDefault="00D74AF2" w:rsidP="00E5552C"/>
    <w:p w:rsidR="00D74AF2" w:rsidRDefault="00D74AF2" w:rsidP="00E5552C"/>
    <w:p w:rsidR="00D74AF2" w:rsidRDefault="00D74AF2" w:rsidP="00E5552C"/>
    <w:p w:rsidR="00D74AF2" w:rsidRDefault="00D74AF2" w:rsidP="00E5552C"/>
    <w:p w:rsidR="00D74AF2" w:rsidRDefault="00D74AF2" w:rsidP="00E5552C"/>
    <w:p w:rsidR="00D74AF2" w:rsidRDefault="00D74AF2" w:rsidP="00E5552C"/>
    <w:p w:rsidR="00D74AF2" w:rsidRDefault="00D74AF2" w:rsidP="00E5552C"/>
    <w:p w:rsidR="00D74AF2" w:rsidRDefault="00D74AF2" w:rsidP="00E5552C"/>
    <w:p w:rsidR="00D74AF2" w:rsidRDefault="00D74AF2" w:rsidP="00E5552C"/>
    <w:p w:rsidR="00D74AF2" w:rsidRDefault="00D74AF2" w:rsidP="00E5552C"/>
    <w:p w:rsidR="00D74AF2" w:rsidRDefault="00D74AF2" w:rsidP="00E5552C"/>
    <w:p w:rsidR="00D74AF2" w:rsidRDefault="00D74AF2" w:rsidP="00E5552C"/>
    <w:p w:rsidR="00C10DA9" w:rsidRDefault="00C10DA9" w:rsidP="00C10DA9">
      <w:r>
        <w:lastRenderedPageBreak/>
        <w:t xml:space="preserve">For </w:t>
      </w:r>
      <w:r w:rsidRPr="00A87307">
        <w:rPr>
          <w:b/>
        </w:rPr>
        <w:t>branch offices</w:t>
      </w:r>
      <w:r>
        <w:t>, the notice shall read:</w:t>
      </w:r>
    </w:p>
    <w:p w:rsidR="00C10DA9" w:rsidRDefault="00C10DA9" w:rsidP="00C10DA9"/>
    <w:p w:rsidR="00F06978" w:rsidRDefault="00F06978" w:rsidP="00C10DA9">
      <w:pPr>
        <w:pStyle w:val="Heading1"/>
        <w:spacing w:before="0"/>
        <w:ind w:left="360"/>
        <w:jc w:val="center"/>
        <w:rPr>
          <w:rFonts w:ascii="Arial" w:hAnsi="Arial" w:cs="Arial"/>
          <w:b w:val="0"/>
          <w:bCs w:val="0"/>
          <w:smallCaps/>
          <w:sz w:val="20"/>
          <w:szCs w:val="20"/>
        </w:rPr>
      </w:pPr>
      <w:r>
        <w:rPr>
          <w:rFonts w:ascii="Arial" w:hAnsi="Arial" w:cs="Arial"/>
          <w:b w:val="0"/>
          <w:bCs w:val="0"/>
          <w:smallCaps/>
        </w:rPr>
        <w:t>Community Reinvestment Act Notice</w:t>
      </w:r>
    </w:p>
    <w:p w:rsidR="00F06978" w:rsidRDefault="00F06978" w:rsidP="00C10DA9">
      <w:pPr>
        <w:pStyle w:val="NormalWeb"/>
        <w:spacing w:before="0" w:beforeAutospacing="0" w:after="0" w:afterAutospacing="0"/>
        <w:ind w:left="360" w:firstLine="0"/>
        <w:rPr>
          <w:rFonts w:ascii="Arial" w:hAnsi="Arial" w:cs="Arial"/>
          <w:sz w:val="20"/>
          <w:szCs w:val="20"/>
        </w:rPr>
      </w:pPr>
    </w:p>
    <w:p w:rsidR="00F06978" w:rsidRDefault="00F06978" w:rsidP="00A042D0">
      <w:pPr>
        <w:pStyle w:val="NormalWeb"/>
        <w:spacing w:before="0" w:beforeAutospacing="0" w:after="0" w:afterAutospacing="0"/>
        <w:ind w:left="360" w:firstLine="360"/>
        <w:rPr>
          <w:rFonts w:ascii="Arial" w:hAnsi="Arial" w:cs="Arial"/>
          <w:sz w:val="20"/>
          <w:szCs w:val="20"/>
        </w:rPr>
      </w:pPr>
      <w:r>
        <w:rPr>
          <w:rFonts w:ascii="Arial" w:hAnsi="Arial" w:cs="Arial"/>
          <w:sz w:val="20"/>
          <w:szCs w:val="20"/>
        </w:rPr>
        <w:t>Under the Federal Community Reinvestment Act (CRA), the Federal Reserve Board (Board) evaluates our record of helping to meet the credit needs of this community consistent with safe and sound operations</w:t>
      </w:r>
      <w:r w:rsidR="008B5A79">
        <w:rPr>
          <w:rFonts w:ascii="Arial" w:hAnsi="Arial" w:cs="Arial"/>
          <w:sz w:val="20"/>
          <w:szCs w:val="20"/>
        </w:rPr>
        <w:t xml:space="preserve">.  </w:t>
      </w:r>
      <w:r>
        <w:rPr>
          <w:rFonts w:ascii="Arial" w:hAnsi="Arial" w:cs="Arial"/>
          <w:sz w:val="20"/>
          <w:szCs w:val="20"/>
        </w:rPr>
        <w:t>The Board also takes this record into account when deciding on certain applications submitted by us.</w:t>
      </w:r>
    </w:p>
    <w:p w:rsidR="00F06978" w:rsidRDefault="00F06978" w:rsidP="00A042D0">
      <w:pPr>
        <w:pStyle w:val="NormalWeb"/>
        <w:spacing w:before="0" w:beforeAutospacing="0" w:after="0" w:afterAutospacing="0"/>
        <w:ind w:left="360" w:firstLine="0"/>
        <w:rPr>
          <w:rFonts w:ascii="Arial" w:hAnsi="Arial" w:cs="Arial"/>
          <w:sz w:val="20"/>
          <w:szCs w:val="20"/>
        </w:rPr>
      </w:pPr>
    </w:p>
    <w:p w:rsidR="00F06978" w:rsidRDefault="00F06978" w:rsidP="00C10DA9">
      <w:pPr>
        <w:pStyle w:val="NormalWeb"/>
        <w:spacing w:before="0" w:beforeAutospacing="0" w:after="0" w:afterAutospacing="0"/>
        <w:ind w:left="360" w:firstLine="360"/>
        <w:rPr>
          <w:rFonts w:ascii="Arial" w:hAnsi="Arial" w:cs="Arial"/>
          <w:sz w:val="20"/>
          <w:szCs w:val="20"/>
        </w:rPr>
      </w:pPr>
      <w:r>
        <w:rPr>
          <w:rFonts w:ascii="Arial" w:hAnsi="Arial" w:cs="Arial"/>
          <w:sz w:val="20"/>
          <w:szCs w:val="20"/>
        </w:rPr>
        <w:t>Your involvement is encouraged.</w:t>
      </w:r>
    </w:p>
    <w:p w:rsidR="00F06978" w:rsidRDefault="00F06978" w:rsidP="00C10DA9">
      <w:pPr>
        <w:pStyle w:val="NormalWeb"/>
        <w:spacing w:before="0" w:beforeAutospacing="0" w:after="0" w:afterAutospacing="0"/>
        <w:ind w:left="360" w:firstLine="0"/>
        <w:rPr>
          <w:rFonts w:ascii="Arial" w:hAnsi="Arial" w:cs="Arial"/>
          <w:sz w:val="20"/>
          <w:szCs w:val="20"/>
        </w:rPr>
      </w:pPr>
    </w:p>
    <w:p w:rsidR="00F06978" w:rsidRDefault="00F06978" w:rsidP="00A042D0">
      <w:pPr>
        <w:pStyle w:val="NormalWeb"/>
        <w:spacing w:before="0" w:beforeAutospacing="0" w:after="0" w:afterAutospacing="0"/>
        <w:ind w:left="360" w:firstLine="360"/>
        <w:rPr>
          <w:rFonts w:ascii="Arial" w:hAnsi="Arial" w:cs="Arial"/>
          <w:sz w:val="20"/>
          <w:szCs w:val="20"/>
        </w:rPr>
      </w:pPr>
      <w:r>
        <w:rPr>
          <w:rFonts w:ascii="Arial" w:hAnsi="Arial" w:cs="Arial"/>
          <w:sz w:val="20"/>
          <w:szCs w:val="20"/>
        </w:rPr>
        <w:t>You are entitled to certain information about our operations and our performance under the CRA.  You may review today the public section of our most recent CRA evaluation, prepared by the Federal Reserve Bank of Dallas (2200 N Pearl St, Dallas, TX  75201-2272 or PO Box 655906, Dallas, TX  75265-5906), and a list of services provided at this branch.  You may also have access to the following additional information, which we will make available to you at this branch within five calendar days after you make a request to us:  (1) a map showing the assessment area containing this branch, which is the area in which the Board evaluates our CRA performance in this community; (2) information about our branches in this assessment area; (3) a list of services we provide at those locations; (4) data on our lending performance in this assessment area; and (5) copies of all written comments received by us that specifically relate to our CRA performance in this assessment area, and any responses we have made to those comments.  If we are operating under an approved strategic plan, you may also have access to a copy of the plan.</w:t>
      </w:r>
    </w:p>
    <w:p w:rsidR="00F06978" w:rsidRDefault="00F06978" w:rsidP="00A042D0">
      <w:pPr>
        <w:pStyle w:val="NormalWeb"/>
        <w:spacing w:before="0" w:beforeAutospacing="0" w:after="0" w:afterAutospacing="0"/>
        <w:ind w:left="360" w:firstLine="0"/>
        <w:rPr>
          <w:rFonts w:ascii="Arial" w:hAnsi="Arial" w:cs="Arial"/>
          <w:sz w:val="20"/>
          <w:szCs w:val="20"/>
        </w:rPr>
      </w:pPr>
    </w:p>
    <w:p w:rsidR="00F06978" w:rsidRDefault="00F06978" w:rsidP="00A042D0">
      <w:pPr>
        <w:pStyle w:val="NormalWeb"/>
        <w:spacing w:before="0" w:beforeAutospacing="0" w:after="0" w:afterAutospacing="0"/>
        <w:ind w:left="360" w:firstLine="360"/>
        <w:rPr>
          <w:rFonts w:ascii="Arial" w:hAnsi="Arial" w:cs="Arial"/>
          <w:sz w:val="20"/>
          <w:szCs w:val="20"/>
        </w:rPr>
      </w:pPr>
      <w:r>
        <w:rPr>
          <w:rFonts w:ascii="Arial" w:hAnsi="Arial" w:cs="Arial"/>
          <w:sz w:val="20"/>
          <w:szCs w:val="20"/>
        </w:rPr>
        <w:t>At least 30 days before the beginning of each quarter, the Federal Reserve System publishes a list of the banks that are scheduled for CRA examination by the Reserve Bank in that quarter.  This list is available from the Officer in Charge of Supervision, Federal Reserve Bank of Dallas (2200 N Pearl St, Dallas, TX  75201-2272 or PO Box 655906, Dallas, TX  75265-5906).  You may send written comments about our performance in helping to meet community credit needs to J. Raymond David, Sr., Chief Executive Officer, c/o PointBank, PO Box 278, Pilot Point, TX  76258, and the Officer in Charge of Supervision, Federal Reserve Bank of Dallas (2200 N Pearl St, Dallas, TX  75201-2272 or PO Box 655906, Dallas, TX  75265-5906).  Your letter, together with any response by us, will be considered by the Federal Reserve System in evaluating our CRA performance and may be made public.</w:t>
      </w:r>
    </w:p>
    <w:p w:rsidR="00F06978" w:rsidRDefault="00F06978" w:rsidP="00A042D0">
      <w:pPr>
        <w:pStyle w:val="NormalWeb"/>
        <w:spacing w:before="0" w:beforeAutospacing="0" w:after="0" w:afterAutospacing="0"/>
        <w:ind w:left="360" w:firstLine="0"/>
        <w:rPr>
          <w:rFonts w:ascii="Arial" w:hAnsi="Arial" w:cs="Arial"/>
          <w:sz w:val="20"/>
          <w:szCs w:val="20"/>
        </w:rPr>
      </w:pPr>
    </w:p>
    <w:p w:rsidR="00F06978" w:rsidRDefault="00F06978" w:rsidP="00DB04B6">
      <w:pPr>
        <w:ind w:left="360" w:firstLine="360"/>
      </w:pPr>
      <w:r>
        <w:rPr>
          <w:rFonts w:ascii="Arial" w:hAnsi="Arial" w:cs="Arial"/>
          <w:sz w:val="20"/>
          <w:szCs w:val="20"/>
        </w:rPr>
        <w:t>You may ask to look at any comments received by the Reserve Bank.  You may also request from the Reserve Bank an announcement of our applications covered by the CRA filed with the Reserve Bank.  We are an affiliate of Pilot Point Bancorp, Inc., a bank holding company.  You may request from the Officer in Charge of Supervision, Federal Reserve Bank of Dallas (2200 N Pearl St, Dallas, TX  75201-2272 or PO Box 655906, Dallas, TX  75265-5906), an announcement of applications covered by the CRA filed by bank holding companies.</w:t>
      </w:r>
    </w:p>
    <w:p w:rsidR="00461C9D" w:rsidRDefault="00461C9D" w:rsidP="00E5552C"/>
    <w:p w:rsidR="00712337" w:rsidRDefault="00712337" w:rsidP="00E5552C">
      <w:pPr>
        <w:rPr>
          <w:b/>
        </w:rPr>
      </w:pPr>
    </w:p>
    <w:p w:rsidR="00D74AF2" w:rsidRDefault="00D74AF2" w:rsidP="00E5552C">
      <w:pPr>
        <w:rPr>
          <w:b/>
        </w:rPr>
      </w:pPr>
    </w:p>
    <w:p w:rsidR="00D74AF2" w:rsidRDefault="00D74AF2" w:rsidP="00E5552C">
      <w:pPr>
        <w:rPr>
          <w:b/>
        </w:rPr>
      </w:pPr>
    </w:p>
    <w:p w:rsidR="00D74AF2" w:rsidRDefault="00D74AF2" w:rsidP="00E5552C">
      <w:pPr>
        <w:rPr>
          <w:b/>
        </w:rPr>
      </w:pPr>
    </w:p>
    <w:p w:rsidR="00D74AF2" w:rsidRDefault="00D74AF2" w:rsidP="00E5552C">
      <w:pPr>
        <w:rPr>
          <w:b/>
        </w:rPr>
      </w:pPr>
    </w:p>
    <w:p w:rsidR="00D74AF2" w:rsidRDefault="00D74AF2" w:rsidP="00E5552C">
      <w:pPr>
        <w:rPr>
          <w:b/>
        </w:rPr>
      </w:pPr>
    </w:p>
    <w:p w:rsidR="00D74AF2" w:rsidRDefault="00D74AF2" w:rsidP="00E5552C">
      <w:pPr>
        <w:rPr>
          <w:b/>
        </w:rPr>
      </w:pPr>
    </w:p>
    <w:p w:rsidR="00D74AF2" w:rsidRDefault="00D74AF2" w:rsidP="00E5552C">
      <w:pPr>
        <w:rPr>
          <w:b/>
        </w:rPr>
      </w:pPr>
    </w:p>
    <w:p w:rsidR="00D74AF2" w:rsidRDefault="00D74AF2" w:rsidP="00E5552C">
      <w:pPr>
        <w:rPr>
          <w:b/>
        </w:rPr>
      </w:pPr>
    </w:p>
    <w:p w:rsidR="00D74AF2" w:rsidRDefault="00D74AF2" w:rsidP="00E5552C">
      <w:pPr>
        <w:rPr>
          <w:b/>
        </w:rPr>
      </w:pPr>
    </w:p>
    <w:p w:rsidR="00D74AF2" w:rsidRDefault="00D74AF2" w:rsidP="00E5552C">
      <w:pPr>
        <w:rPr>
          <w:b/>
        </w:rPr>
      </w:pPr>
    </w:p>
    <w:p w:rsidR="00D74AF2" w:rsidRDefault="00D74AF2" w:rsidP="00E5552C">
      <w:pPr>
        <w:rPr>
          <w:b/>
        </w:rPr>
      </w:pPr>
    </w:p>
    <w:p w:rsidR="00D74AF2" w:rsidRDefault="00D74AF2" w:rsidP="00E5552C">
      <w:pPr>
        <w:rPr>
          <w:b/>
        </w:rPr>
      </w:pPr>
    </w:p>
    <w:p w:rsidR="00D74AF2" w:rsidRDefault="00D74AF2" w:rsidP="00E5552C">
      <w:pPr>
        <w:rPr>
          <w:b/>
        </w:rPr>
      </w:pPr>
    </w:p>
    <w:p w:rsidR="00D74AF2" w:rsidRDefault="00D74AF2" w:rsidP="00E5552C">
      <w:pPr>
        <w:rPr>
          <w:b/>
        </w:rPr>
      </w:pPr>
    </w:p>
    <w:p w:rsidR="00D74AF2" w:rsidRDefault="00D74AF2" w:rsidP="00E5552C">
      <w:pPr>
        <w:rPr>
          <w:b/>
        </w:rPr>
      </w:pPr>
    </w:p>
    <w:p w:rsidR="00D74AF2" w:rsidRDefault="00D74AF2" w:rsidP="00E5552C">
      <w:pPr>
        <w:rPr>
          <w:b/>
        </w:rPr>
      </w:pPr>
    </w:p>
    <w:p w:rsidR="005F1099" w:rsidRDefault="005F1099" w:rsidP="005F1099">
      <w:r w:rsidRPr="00E2674F">
        <w:rPr>
          <w:b/>
        </w:rPr>
        <w:lastRenderedPageBreak/>
        <w:t xml:space="preserve">Customer Information Program (CIP) </w:t>
      </w:r>
      <w:r w:rsidRPr="00CF34A7">
        <w:rPr>
          <w:b/>
          <w:szCs w:val="24"/>
        </w:rPr>
        <w:t>[AKA the Uniting and Strengthening America by Providing Appropriate Tools Required to Intercept and Obstruct Terrorism (USA PATRIOT Act)]</w:t>
      </w:r>
      <w:r w:rsidRPr="00E2674F">
        <w:rPr>
          <w:b/>
        </w:rPr>
        <w:t xml:space="preserve"> Notice:</w:t>
      </w:r>
      <w:r w:rsidRPr="00A24A34">
        <w:t xml:space="preserve">  </w:t>
      </w:r>
      <w:r>
        <w:t xml:space="preserve">Per </w:t>
      </w:r>
      <w:hyperlink r:id="rId10" w:history="1">
        <w:r w:rsidRPr="0031612E">
          <w:rPr>
            <w:rStyle w:val="Hyperlink"/>
            <w:color w:val="auto"/>
            <w:u w:val="none"/>
          </w:rPr>
          <w:t xml:space="preserve">31 CFR </w:t>
        </w:r>
        <w:r>
          <w:rPr>
            <w:rStyle w:val="Hyperlink"/>
            <w:color w:val="auto"/>
            <w:u w:val="none"/>
          </w:rPr>
          <w:t>§</w:t>
        </w:r>
        <w:r w:rsidRPr="0031612E">
          <w:rPr>
            <w:rStyle w:val="Hyperlink"/>
            <w:color w:val="auto"/>
            <w:u w:val="none"/>
          </w:rPr>
          <w:t>1020.220</w:t>
        </w:r>
      </w:hyperlink>
      <w:r>
        <w:t xml:space="preserve">(a)(5), adequate customer </w:t>
      </w:r>
      <w:r w:rsidRPr="00CF0324">
        <w:rPr>
          <w:b/>
          <w:highlight w:val="green"/>
        </w:rPr>
        <w:t>notice must be provided in</w:t>
      </w:r>
      <w:r w:rsidRPr="00E2674F">
        <w:rPr>
          <w:b/>
          <w:highlight w:val="green"/>
        </w:rPr>
        <w:t xml:space="preserve"> a manner reasonably designed to ensure that a customer is able to view the information </w:t>
      </w:r>
      <w:r w:rsidRPr="00E2674F">
        <w:rPr>
          <w:b/>
          <w:i/>
          <w:highlight w:val="green"/>
        </w:rPr>
        <w:t>before</w:t>
      </w:r>
      <w:r w:rsidRPr="00E2674F">
        <w:rPr>
          <w:b/>
          <w:highlight w:val="green"/>
        </w:rPr>
        <w:t xml:space="preserve"> opening an account</w:t>
      </w:r>
      <w:r>
        <w:t>.</w:t>
      </w:r>
    </w:p>
    <w:p w:rsidR="005F1099" w:rsidRDefault="005F1099" w:rsidP="005F1099"/>
    <w:p w:rsidR="005F1099" w:rsidRDefault="005F1099" w:rsidP="005F1099">
      <w:r>
        <w:t>A “bank may use the following sample language to provide notice to its customers:</w:t>
      </w:r>
    </w:p>
    <w:p w:rsidR="005F1099" w:rsidRDefault="005F1099" w:rsidP="005F1099"/>
    <w:p w:rsidR="005F1099" w:rsidRDefault="005F1099" w:rsidP="005F1099">
      <w:pPr>
        <w:pStyle w:val="Heading3"/>
        <w:spacing w:before="0"/>
        <w:ind w:left="360"/>
        <w:rPr>
          <w:rFonts w:ascii="Times New Roman" w:hAnsi="Times New Roman"/>
          <w:sz w:val="27"/>
        </w:rPr>
      </w:pPr>
      <w:r>
        <w:t xml:space="preserve">Important Information About Procedures for Opening a New Account </w:t>
      </w:r>
    </w:p>
    <w:p w:rsidR="005F1099" w:rsidRDefault="005F1099" w:rsidP="005F1099">
      <w:pPr>
        <w:pStyle w:val="NormalWeb"/>
        <w:spacing w:before="0" w:beforeAutospacing="0" w:after="0" w:afterAutospacing="0"/>
        <w:ind w:left="360"/>
      </w:pPr>
    </w:p>
    <w:p w:rsidR="005F1099" w:rsidRDefault="005F1099" w:rsidP="005F1099">
      <w:pPr>
        <w:pStyle w:val="NormalWeb"/>
        <w:spacing w:before="0" w:beforeAutospacing="0" w:after="0" w:afterAutospacing="0"/>
        <w:ind w:left="360"/>
      </w:pPr>
      <w:r>
        <w:t>To help the government fight the funding of terrorism and money laundering activities, Federal law requires all financial institutions to obtain, verify, and record information that identifies each person who opens an account.</w:t>
      </w:r>
    </w:p>
    <w:p w:rsidR="005F1099" w:rsidRDefault="005F1099" w:rsidP="005F1099">
      <w:pPr>
        <w:pStyle w:val="NormalWeb"/>
        <w:spacing w:before="0" w:beforeAutospacing="0" w:after="0" w:afterAutospacing="0"/>
        <w:ind w:left="360"/>
      </w:pPr>
    </w:p>
    <w:p w:rsidR="005F1099" w:rsidRDefault="005F1099" w:rsidP="005F1099">
      <w:pPr>
        <w:pStyle w:val="NormalWeb"/>
        <w:spacing w:before="0" w:beforeAutospacing="0" w:after="0" w:afterAutospacing="0"/>
        <w:ind w:left="360"/>
      </w:pPr>
      <w:r>
        <w:t>What this means for you:  When you open an account, we will ask for your name, address, date of birth, and other information that will allow us to identify you.  We may also ask to see your driver's license or other identifying documents.”</w:t>
      </w:r>
    </w:p>
    <w:p w:rsidR="005F1099" w:rsidRPr="00D27FFB"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szCs w:val="24"/>
        </w:rPr>
      </w:pPr>
    </w:p>
    <w:p w:rsidR="005F1099" w:rsidRDefault="005F1099" w:rsidP="005F1099">
      <w:pPr>
        <w:rPr>
          <w:rFonts w:cs="Arial"/>
          <w:b/>
          <w:color w:val="404040"/>
          <w:szCs w:val="24"/>
          <w:shd w:val="clear" w:color="auto" w:fill="FFFFFF"/>
        </w:rPr>
      </w:pPr>
    </w:p>
    <w:p w:rsidR="00E5552C" w:rsidRDefault="00A24A34" w:rsidP="00E5552C">
      <w:r w:rsidRPr="00E2674F">
        <w:rPr>
          <w:b/>
        </w:rPr>
        <w:lastRenderedPageBreak/>
        <w:t>Equal Housing Lender (EHL) Notice:</w:t>
      </w:r>
      <w:r w:rsidRPr="00A24A34">
        <w:t xml:space="preserve">  Bank</w:t>
      </w:r>
      <w:r>
        <w:t xml:space="preserve">s engaging in </w:t>
      </w:r>
      <w:r w:rsidR="00E5552C" w:rsidRPr="00E5552C">
        <w:t>residential real estate-related transaction</w:t>
      </w:r>
      <w:r w:rsidR="00E5552C">
        <w:t>s</w:t>
      </w:r>
      <w:r w:rsidR="00061B59">
        <w:t>,</w:t>
      </w:r>
      <w:r w:rsidR="00E5552C">
        <w:t xml:space="preserve"> as defined by the Fair Housing Act </w:t>
      </w:r>
      <w:r w:rsidR="00E5552C" w:rsidRPr="002403FF">
        <w:rPr>
          <w:sz w:val="18"/>
        </w:rPr>
        <w:t xml:space="preserve">(i.e.  the making or purchasing of loans or providing other financial assistance for purchasing, constructing, improving, repairing, or maintaining a dwelling, </w:t>
      </w:r>
      <w:r w:rsidR="00E5552C" w:rsidRPr="002403FF">
        <w:rPr>
          <w:b/>
          <w:i/>
          <w:sz w:val="18"/>
        </w:rPr>
        <w:t>or</w:t>
      </w:r>
      <w:r w:rsidR="00E5552C" w:rsidRPr="002403FF">
        <w:rPr>
          <w:sz w:val="18"/>
        </w:rPr>
        <w:t xml:space="preserve"> secured by residential real estate; the selling, brokering, or appraising of residential real property)</w:t>
      </w:r>
      <w:r w:rsidR="00061B59">
        <w:t>, a</w:t>
      </w:r>
      <w:r w:rsidR="00E5552C">
        <w:t xml:space="preserve">re required to </w:t>
      </w:r>
      <w:r w:rsidR="00E5552C" w:rsidRPr="00CF0324">
        <w:rPr>
          <w:b/>
          <w:i/>
          <w:highlight w:val="green"/>
        </w:rPr>
        <w:t>conspicuously</w:t>
      </w:r>
      <w:r w:rsidR="00E5552C" w:rsidRPr="00CF0324">
        <w:rPr>
          <w:b/>
          <w:highlight w:val="green"/>
        </w:rPr>
        <w:t xml:space="preserve"> post a notice</w:t>
      </w:r>
      <w:r w:rsidR="00E5552C">
        <w:t xml:space="preserve"> of nondiscrimination </w:t>
      </w:r>
      <w:r w:rsidR="00E5552C" w:rsidRPr="00E2674F">
        <w:rPr>
          <w:b/>
          <w:highlight w:val="green"/>
        </w:rPr>
        <w:t>in the lobby of each office</w:t>
      </w:r>
      <w:r w:rsidR="00E5552C" w:rsidRPr="00712337">
        <w:rPr>
          <w:b/>
        </w:rPr>
        <w:t xml:space="preserve"> </w:t>
      </w:r>
      <w:r w:rsidR="00E5552C">
        <w:t xml:space="preserve">making such loans </w:t>
      </w:r>
      <w:r w:rsidR="000E127F" w:rsidRPr="00E2674F">
        <w:rPr>
          <w:b/>
          <w:i/>
          <w:highlight w:val="green"/>
        </w:rPr>
        <w:t>and</w:t>
      </w:r>
      <w:r w:rsidR="00E5552C" w:rsidRPr="00B631C4">
        <w:t xml:space="preserve"> in any area of the bank </w:t>
      </w:r>
      <w:r w:rsidR="00E5552C" w:rsidRPr="00E2674F">
        <w:rPr>
          <w:b/>
          <w:highlight w:val="green"/>
        </w:rPr>
        <w:t xml:space="preserve">where applications for </w:t>
      </w:r>
      <w:r w:rsidR="000E127F" w:rsidRPr="00E2674F">
        <w:rPr>
          <w:b/>
          <w:highlight w:val="green"/>
        </w:rPr>
        <w:t>covered loans are taken</w:t>
      </w:r>
      <w:r w:rsidR="000E127F">
        <w:t>.</w:t>
      </w:r>
      <w:r w:rsidR="00F26410">
        <w:t xml:space="preserve">  This notice </w:t>
      </w:r>
      <w:r w:rsidR="00723F9F">
        <w:t xml:space="preserve">shall </w:t>
      </w:r>
      <w:r w:rsidR="00723F9F" w:rsidRPr="00251738">
        <w:rPr>
          <w:b/>
          <w:highlight w:val="green"/>
        </w:rPr>
        <w:t xml:space="preserve">be at least </w:t>
      </w:r>
      <w:r w:rsidR="00F26410" w:rsidRPr="00251738">
        <w:rPr>
          <w:b/>
          <w:highlight w:val="green"/>
        </w:rPr>
        <w:t>11" x 14" in size</w:t>
      </w:r>
      <w:r w:rsidR="00723F9F">
        <w:t xml:space="preserve"> and shall have the following text:</w:t>
      </w:r>
    </w:p>
    <w:p w:rsidR="00723F9F" w:rsidRDefault="00723F9F" w:rsidP="00E5552C"/>
    <w:p w:rsidR="005F18FF" w:rsidRPr="005F18FF" w:rsidRDefault="005F18FF" w:rsidP="00F06978">
      <w:pPr>
        <w:ind w:left="360"/>
        <w:rPr>
          <w:rStyle w:val="Hyperlink"/>
          <w:color w:val="auto"/>
          <w:u w:val="none"/>
        </w:rPr>
      </w:pPr>
      <w:r w:rsidRPr="005F18FF">
        <w:fldChar w:fldCharType="begin"/>
      </w:r>
      <w:r w:rsidRPr="005F18FF">
        <w:instrText xml:space="preserve"> HYPERLINK "https://www.federalreserve.gov/boarddocs/caletters/2007/0706/07-06_attachment.pdf" </w:instrText>
      </w:r>
      <w:r w:rsidRPr="005F18FF">
        <w:fldChar w:fldCharType="separate"/>
      </w:r>
      <w:r w:rsidRPr="005F18FF">
        <w:rPr>
          <w:rStyle w:val="Hyperlink"/>
          <w:color w:val="auto"/>
          <w:u w:val="none"/>
        </w:rPr>
        <w:t>WE DO BUSINESS IN ACCORDANCE WITH FEDERAL FAIR LENDING LAWS</w:t>
      </w:r>
    </w:p>
    <w:p w:rsidR="005F18FF" w:rsidRPr="005F18FF" w:rsidRDefault="005F18FF" w:rsidP="00F06978">
      <w:pPr>
        <w:ind w:left="360"/>
        <w:rPr>
          <w:rStyle w:val="Hyperlink"/>
          <w:color w:val="auto"/>
          <w:u w:val="none"/>
        </w:rPr>
      </w:pPr>
    </w:p>
    <w:p w:rsidR="005F18FF" w:rsidRPr="005F18FF" w:rsidRDefault="005F18FF" w:rsidP="00F06978">
      <w:pPr>
        <w:ind w:left="360"/>
        <w:rPr>
          <w:rStyle w:val="Hyperlink"/>
          <w:color w:val="auto"/>
          <w:u w:val="none"/>
        </w:rPr>
      </w:pPr>
      <w:r w:rsidRPr="005F18FF">
        <w:rPr>
          <w:rStyle w:val="Hyperlink"/>
          <w:color w:val="auto"/>
          <w:u w:val="none"/>
        </w:rPr>
        <w:t>UNDER THE FEDERAL FAIR HOUSING ACT, IT IS ILLEGAL, ON THE BASIS OF RACE, COLOR, NATIONAL ORIGIN, RELIGION, SEX, HANDICAP OR FAMILIAL STATUS (HAVING CHILDREN UNDER THE AGE OF 18), TO</w:t>
      </w:r>
    </w:p>
    <w:p w:rsidR="005F18FF" w:rsidRPr="005F18FF" w:rsidRDefault="005F18FF" w:rsidP="00F06978">
      <w:pPr>
        <w:ind w:left="360"/>
        <w:rPr>
          <w:rStyle w:val="Hyperlink"/>
          <w:color w:val="auto"/>
          <w:u w:val="none"/>
        </w:rPr>
      </w:pPr>
    </w:p>
    <w:p w:rsidR="005F18FF" w:rsidRPr="005F18FF" w:rsidRDefault="005F18FF" w:rsidP="005F18FF">
      <w:pPr>
        <w:pStyle w:val="ListParagraph"/>
        <w:numPr>
          <w:ilvl w:val="0"/>
          <w:numId w:val="2"/>
        </w:numPr>
        <w:rPr>
          <w:rStyle w:val="Hyperlink"/>
          <w:color w:val="auto"/>
          <w:u w:val="none"/>
        </w:rPr>
      </w:pPr>
      <w:r w:rsidRPr="005F18FF">
        <w:rPr>
          <w:rStyle w:val="Hyperlink"/>
          <w:color w:val="auto"/>
          <w:u w:val="none"/>
        </w:rPr>
        <w:t>Deny a loan for the purpose of purchasing, constructing, improving, repairing or maintaining a dwelling, or deny any loan secured by a dwelling; or</w:t>
      </w:r>
    </w:p>
    <w:p w:rsidR="005F18FF" w:rsidRPr="005F18FF" w:rsidRDefault="005F18FF" w:rsidP="005F18FF">
      <w:pPr>
        <w:pStyle w:val="ListParagraph"/>
        <w:numPr>
          <w:ilvl w:val="0"/>
          <w:numId w:val="2"/>
        </w:numPr>
        <w:rPr>
          <w:rStyle w:val="Hyperlink"/>
          <w:color w:val="auto"/>
          <w:u w:val="none"/>
        </w:rPr>
      </w:pPr>
      <w:r w:rsidRPr="005F18FF">
        <w:rPr>
          <w:rStyle w:val="Hyperlink"/>
          <w:color w:val="auto"/>
          <w:u w:val="none"/>
        </w:rPr>
        <w:t>Discriminate in fixing the amount, interest rate, duration, application procedures or other terms or conditions of such a loan, or in appraising property.</w:t>
      </w:r>
    </w:p>
    <w:p w:rsidR="005F18FF" w:rsidRPr="005F18FF" w:rsidRDefault="005F18FF" w:rsidP="00F06978">
      <w:pPr>
        <w:ind w:left="360"/>
        <w:rPr>
          <w:rStyle w:val="Hyperlink"/>
          <w:color w:val="auto"/>
          <w:u w:val="none"/>
        </w:rPr>
      </w:pPr>
    </w:p>
    <w:p w:rsidR="005F18FF" w:rsidRPr="005F18FF" w:rsidRDefault="005F18FF" w:rsidP="00F06978">
      <w:pPr>
        <w:ind w:left="360"/>
        <w:rPr>
          <w:rStyle w:val="Hyperlink"/>
          <w:color w:val="auto"/>
          <w:u w:val="none"/>
        </w:rPr>
      </w:pPr>
      <w:r w:rsidRPr="005F18FF">
        <w:rPr>
          <w:rStyle w:val="Hyperlink"/>
          <w:color w:val="auto"/>
          <w:u w:val="none"/>
        </w:rPr>
        <w:t>IF YOU BELIEVE YOU HAVE BEEN DISCRIMINATED AGAINST, YOU SHOULD SEND A COMPLAINT TO:</w:t>
      </w:r>
    </w:p>
    <w:p w:rsidR="005F18FF" w:rsidRPr="005F18FF" w:rsidRDefault="005F18FF" w:rsidP="00F06978">
      <w:pPr>
        <w:ind w:left="360"/>
        <w:rPr>
          <w:rStyle w:val="Hyperlink"/>
          <w:color w:val="auto"/>
          <w:u w:val="none"/>
        </w:rPr>
      </w:pPr>
    </w:p>
    <w:p w:rsidR="005F18FF" w:rsidRPr="005F18FF" w:rsidRDefault="005F18FF" w:rsidP="00F06978">
      <w:pPr>
        <w:ind w:left="360"/>
        <w:rPr>
          <w:rStyle w:val="Hyperlink"/>
          <w:color w:val="auto"/>
          <w:u w:val="none"/>
        </w:rPr>
      </w:pPr>
      <w:r w:rsidRPr="005F18FF">
        <w:rPr>
          <w:rStyle w:val="Hyperlink"/>
          <w:color w:val="auto"/>
          <w:u w:val="none"/>
        </w:rPr>
        <w:t>Assistant Secretary for Fair Housing and Equal Opportunity Department of Housing &amp; Urban Development, Washington, D.C. 20410</w:t>
      </w:r>
    </w:p>
    <w:p w:rsidR="005F18FF" w:rsidRPr="005F18FF" w:rsidRDefault="005F18FF" w:rsidP="00F06978">
      <w:pPr>
        <w:ind w:left="360"/>
        <w:rPr>
          <w:rStyle w:val="Hyperlink"/>
          <w:color w:val="auto"/>
          <w:u w:val="none"/>
        </w:rPr>
      </w:pPr>
    </w:p>
    <w:p w:rsidR="005F18FF" w:rsidRPr="005F18FF" w:rsidRDefault="005F18FF" w:rsidP="00F06978">
      <w:pPr>
        <w:ind w:left="360"/>
        <w:rPr>
          <w:rStyle w:val="Hyperlink"/>
          <w:color w:val="auto"/>
          <w:u w:val="none"/>
        </w:rPr>
      </w:pPr>
      <w:r w:rsidRPr="005F18FF">
        <w:rPr>
          <w:rStyle w:val="Hyperlink"/>
          <w:color w:val="auto"/>
          <w:u w:val="none"/>
        </w:rPr>
        <w:t>For processing under the Federal Fair Housing Act and to:</w:t>
      </w:r>
    </w:p>
    <w:p w:rsidR="005F18FF" w:rsidRPr="005F18FF" w:rsidRDefault="005F18FF" w:rsidP="00F06978">
      <w:pPr>
        <w:ind w:left="360"/>
        <w:rPr>
          <w:rStyle w:val="Hyperlink"/>
          <w:color w:val="auto"/>
          <w:u w:val="none"/>
        </w:rPr>
      </w:pPr>
    </w:p>
    <w:p w:rsidR="005F18FF" w:rsidRPr="005F18FF" w:rsidRDefault="005F18FF" w:rsidP="00F81394">
      <w:pPr>
        <w:ind w:left="360"/>
        <w:rPr>
          <w:rStyle w:val="Hyperlink"/>
          <w:color w:val="auto"/>
          <w:u w:val="none"/>
        </w:rPr>
      </w:pPr>
      <w:r w:rsidRPr="005F18FF">
        <w:rPr>
          <w:rStyle w:val="Hyperlink"/>
          <w:color w:val="auto"/>
          <w:u w:val="none"/>
        </w:rPr>
        <w:t>Federal Reserve Consumer Help</w:t>
      </w:r>
    </w:p>
    <w:p w:rsidR="005F18FF" w:rsidRPr="005F18FF" w:rsidRDefault="005F18FF" w:rsidP="00F81394">
      <w:pPr>
        <w:ind w:left="360"/>
        <w:rPr>
          <w:rStyle w:val="Hyperlink"/>
          <w:color w:val="auto"/>
          <w:u w:val="none"/>
        </w:rPr>
      </w:pPr>
      <w:r w:rsidRPr="005F18FF">
        <w:rPr>
          <w:rStyle w:val="Hyperlink"/>
          <w:color w:val="auto"/>
          <w:u w:val="none"/>
        </w:rPr>
        <w:t>PO Box 1200</w:t>
      </w:r>
    </w:p>
    <w:p w:rsidR="005F18FF" w:rsidRPr="005F18FF" w:rsidRDefault="005F18FF" w:rsidP="00F81394">
      <w:pPr>
        <w:ind w:left="360"/>
        <w:rPr>
          <w:rStyle w:val="Hyperlink"/>
          <w:color w:val="auto"/>
          <w:u w:val="none"/>
        </w:rPr>
      </w:pPr>
      <w:r w:rsidRPr="005F18FF">
        <w:rPr>
          <w:rStyle w:val="Hyperlink"/>
          <w:color w:val="auto"/>
          <w:u w:val="none"/>
        </w:rPr>
        <w:t>Minneapolis, MN 55480</w:t>
      </w:r>
    </w:p>
    <w:p w:rsidR="005F18FF" w:rsidRPr="005F18FF" w:rsidRDefault="005F18FF" w:rsidP="00F06978">
      <w:pPr>
        <w:ind w:left="360"/>
        <w:rPr>
          <w:rStyle w:val="Hyperlink"/>
          <w:color w:val="auto"/>
          <w:u w:val="none"/>
        </w:rPr>
      </w:pPr>
    </w:p>
    <w:p w:rsidR="005F18FF" w:rsidRPr="005F18FF" w:rsidRDefault="005F18FF" w:rsidP="00F06978">
      <w:pPr>
        <w:ind w:left="360"/>
        <w:rPr>
          <w:rStyle w:val="Hyperlink"/>
          <w:color w:val="auto"/>
          <w:u w:val="none"/>
        </w:rPr>
      </w:pPr>
      <w:r w:rsidRPr="005F18FF">
        <w:rPr>
          <w:rStyle w:val="Hyperlink"/>
          <w:color w:val="auto"/>
          <w:u w:val="none"/>
        </w:rPr>
        <w:t>For processing under Federal Reserve regulations</w:t>
      </w:r>
    </w:p>
    <w:p w:rsidR="005F18FF" w:rsidRPr="005F18FF" w:rsidRDefault="005F18FF" w:rsidP="00F06978">
      <w:pPr>
        <w:ind w:left="360"/>
        <w:rPr>
          <w:rStyle w:val="Hyperlink"/>
          <w:color w:val="auto"/>
          <w:u w:val="none"/>
        </w:rPr>
      </w:pPr>
    </w:p>
    <w:p w:rsidR="005F18FF" w:rsidRPr="005F18FF" w:rsidRDefault="005F18FF" w:rsidP="00F06978">
      <w:pPr>
        <w:ind w:left="360"/>
        <w:rPr>
          <w:rStyle w:val="Hyperlink"/>
          <w:color w:val="auto"/>
          <w:u w:val="none"/>
        </w:rPr>
      </w:pPr>
      <w:r w:rsidRPr="005F18FF">
        <w:rPr>
          <w:rStyle w:val="Hyperlink"/>
          <w:color w:val="auto"/>
          <w:u w:val="none"/>
        </w:rPr>
        <w:t>UNDER THE EQUAL CREDIT OPPORTUNITY ACT, IT IS ILLEGAL TO DISCRIMINATE IN ANY CREDIT TRANSACTION:</w:t>
      </w:r>
    </w:p>
    <w:p w:rsidR="005F18FF" w:rsidRPr="005F18FF" w:rsidRDefault="005F18FF" w:rsidP="00F06978">
      <w:pPr>
        <w:ind w:left="360"/>
        <w:rPr>
          <w:rStyle w:val="Hyperlink"/>
          <w:color w:val="auto"/>
          <w:u w:val="none"/>
        </w:rPr>
      </w:pPr>
    </w:p>
    <w:p w:rsidR="005F18FF" w:rsidRPr="005F18FF" w:rsidRDefault="005F18FF" w:rsidP="005F18FF">
      <w:pPr>
        <w:pStyle w:val="ListParagraph"/>
        <w:numPr>
          <w:ilvl w:val="0"/>
          <w:numId w:val="3"/>
        </w:numPr>
        <w:rPr>
          <w:rStyle w:val="Hyperlink"/>
          <w:color w:val="auto"/>
          <w:u w:val="none"/>
        </w:rPr>
      </w:pPr>
      <w:r w:rsidRPr="005F18FF">
        <w:rPr>
          <w:rStyle w:val="Hyperlink"/>
          <w:color w:val="auto"/>
          <w:u w:val="none"/>
        </w:rPr>
        <w:t>On the basis of race, color, religion, national origin, sex, marital status, or age (providing the applicant has the legal capacity to enter into a binding contract);</w:t>
      </w:r>
    </w:p>
    <w:p w:rsidR="005F18FF" w:rsidRPr="005F18FF" w:rsidRDefault="005F18FF" w:rsidP="005F18FF">
      <w:pPr>
        <w:pStyle w:val="ListParagraph"/>
        <w:numPr>
          <w:ilvl w:val="0"/>
          <w:numId w:val="3"/>
        </w:numPr>
        <w:rPr>
          <w:rStyle w:val="Hyperlink"/>
          <w:color w:val="auto"/>
          <w:u w:val="none"/>
        </w:rPr>
      </w:pPr>
      <w:r w:rsidRPr="005F18FF">
        <w:rPr>
          <w:rStyle w:val="Hyperlink"/>
          <w:color w:val="auto"/>
          <w:u w:val="none"/>
        </w:rPr>
        <w:t>Because income is from public assistance; or</w:t>
      </w:r>
    </w:p>
    <w:p w:rsidR="005F18FF" w:rsidRPr="005F18FF" w:rsidRDefault="005F18FF" w:rsidP="005F18FF">
      <w:pPr>
        <w:pStyle w:val="ListParagraph"/>
        <w:numPr>
          <w:ilvl w:val="0"/>
          <w:numId w:val="3"/>
        </w:numPr>
        <w:rPr>
          <w:rStyle w:val="Hyperlink"/>
          <w:color w:val="auto"/>
          <w:u w:val="none"/>
        </w:rPr>
      </w:pPr>
      <w:r w:rsidRPr="005F18FF">
        <w:rPr>
          <w:rStyle w:val="Hyperlink"/>
          <w:color w:val="auto"/>
          <w:u w:val="none"/>
        </w:rPr>
        <w:t>Because a right was exercised under the Consumer Credit Protection Act.</w:t>
      </w:r>
    </w:p>
    <w:p w:rsidR="005F18FF" w:rsidRPr="005F18FF" w:rsidRDefault="005F18FF" w:rsidP="00F06978">
      <w:pPr>
        <w:ind w:left="360"/>
        <w:rPr>
          <w:rStyle w:val="Hyperlink"/>
          <w:color w:val="auto"/>
          <w:u w:val="none"/>
        </w:rPr>
      </w:pPr>
    </w:p>
    <w:p w:rsidR="005F18FF" w:rsidRPr="005F18FF" w:rsidRDefault="005F18FF" w:rsidP="00F06978">
      <w:pPr>
        <w:ind w:left="360"/>
        <w:rPr>
          <w:rStyle w:val="Hyperlink"/>
          <w:color w:val="auto"/>
          <w:u w:val="none"/>
        </w:rPr>
      </w:pPr>
      <w:r w:rsidRPr="005F18FF">
        <w:rPr>
          <w:rStyle w:val="Hyperlink"/>
          <w:color w:val="auto"/>
          <w:u w:val="none"/>
        </w:rPr>
        <w:t>IF YOU BELIEVE YOU HAVE BEEN DISCRIMINATED AGAINST, YOU MAY SEND A COMPLAINT TO:</w:t>
      </w:r>
    </w:p>
    <w:p w:rsidR="005F18FF" w:rsidRPr="005F18FF" w:rsidRDefault="005F18FF" w:rsidP="00F06978">
      <w:pPr>
        <w:ind w:left="360"/>
        <w:rPr>
          <w:rStyle w:val="Hyperlink"/>
          <w:color w:val="auto"/>
          <w:u w:val="none"/>
        </w:rPr>
      </w:pPr>
    </w:p>
    <w:p w:rsidR="005F18FF" w:rsidRPr="005F18FF" w:rsidRDefault="005F18FF" w:rsidP="00F81394">
      <w:pPr>
        <w:ind w:left="360"/>
        <w:rPr>
          <w:rStyle w:val="Hyperlink"/>
          <w:color w:val="auto"/>
          <w:u w:val="none"/>
        </w:rPr>
      </w:pPr>
      <w:r w:rsidRPr="005F18FF">
        <w:rPr>
          <w:rStyle w:val="Hyperlink"/>
          <w:color w:val="auto"/>
          <w:u w:val="none"/>
        </w:rPr>
        <w:t>Federal Reserve Consumer Help</w:t>
      </w:r>
    </w:p>
    <w:p w:rsidR="005F18FF" w:rsidRPr="005F18FF" w:rsidRDefault="005F18FF" w:rsidP="00F81394">
      <w:pPr>
        <w:ind w:left="360"/>
        <w:rPr>
          <w:rStyle w:val="Hyperlink"/>
          <w:color w:val="auto"/>
          <w:u w:val="none"/>
        </w:rPr>
      </w:pPr>
      <w:r w:rsidRPr="005F18FF">
        <w:rPr>
          <w:rStyle w:val="Hyperlink"/>
          <w:color w:val="auto"/>
          <w:u w:val="none"/>
        </w:rPr>
        <w:t>PO Box 1200</w:t>
      </w:r>
    </w:p>
    <w:p w:rsidR="00F26410" w:rsidRPr="005F18FF" w:rsidRDefault="005F18FF" w:rsidP="00F81394">
      <w:pPr>
        <w:ind w:left="360"/>
      </w:pPr>
      <w:r w:rsidRPr="005F18FF">
        <w:rPr>
          <w:rStyle w:val="Hyperlink"/>
          <w:color w:val="auto"/>
          <w:u w:val="none"/>
        </w:rPr>
        <w:t>Minneapolis, MN 55480</w:t>
      </w:r>
      <w:r w:rsidRPr="005F18FF">
        <w:fldChar w:fldCharType="end"/>
      </w:r>
    </w:p>
    <w:p w:rsidR="00F26410" w:rsidRDefault="00F26410" w:rsidP="00E5552C"/>
    <w:p w:rsidR="000E127F" w:rsidRDefault="000E127F" w:rsidP="00E5552C"/>
    <w:p w:rsidR="00D74AF2" w:rsidRDefault="00D74AF2" w:rsidP="00E5552C"/>
    <w:p w:rsidR="005F1099" w:rsidRDefault="005F1099" w:rsidP="005F1099">
      <w:pPr>
        <w:rPr>
          <w:rFonts w:cs="Arial"/>
          <w:b/>
          <w:color w:val="404040"/>
          <w:szCs w:val="24"/>
        </w:rPr>
      </w:pPr>
      <w:r w:rsidRPr="00B611C9">
        <w:rPr>
          <w:rFonts w:cs="Arial"/>
          <w:b/>
          <w:color w:val="404040"/>
          <w:szCs w:val="24"/>
        </w:rPr>
        <w:lastRenderedPageBreak/>
        <w:t>Federal Deposit Insurance Corporation (FDIC) Signs (AKA Advertisement of Membership):</w:t>
      </w:r>
      <w:r>
        <w:rPr>
          <w:rFonts w:cs="Arial"/>
          <w:color w:val="404040"/>
          <w:szCs w:val="24"/>
        </w:rPr>
        <w:t xml:space="preserve">  Per </w:t>
      </w:r>
      <w:hyperlink r:id="rId11" w:history="1">
        <w:r w:rsidRPr="006D096E">
          <w:rPr>
            <w:rStyle w:val="Hyperlink"/>
            <w:rFonts w:cs="Arial"/>
            <w:color w:val="auto"/>
            <w:szCs w:val="24"/>
            <w:u w:val="none"/>
          </w:rPr>
          <w:t>12 CFR §328</w:t>
        </w:r>
      </w:hyperlink>
      <w:r>
        <w:rPr>
          <w:rFonts w:cs="Arial"/>
          <w:color w:val="404040"/>
          <w:szCs w:val="24"/>
        </w:rPr>
        <w:t>.2, e</w:t>
      </w:r>
      <w:r w:rsidRPr="00B611C9">
        <w:rPr>
          <w:rFonts w:cs="Arial"/>
          <w:color w:val="404040"/>
          <w:szCs w:val="24"/>
        </w:rPr>
        <w:t xml:space="preserve">ach insured depository institution shall continuously </w:t>
      </w:r>
      <w:r w:rsidRPr="00CF0324">
        <w:rPr>
          <w:rFonts w:cs="Arial"/>
          <w:b/>
          <w:color w:val="404040"/>
          <w:szCs w:val="24"/>
          <w:highlight w:val="green"/>
        </w:rPr>
        <w:t xml:space="preserve">display the official sign at </w:t>
      </w:r>
      <w:r w:rsidRPr="006D096E">
        <w:rPr>
          <w:rFonts w:cs="Arial"/>
          <w:b/>
          <w:color w:val="404040"/>
          <w:szCs w:val="24"/>
          <w:highlight w:val="green"/>
        </w:rPr>
        <w:t xml:space="preserve">each station or window where insured deposits are usually </w:t>
      </w:r>
      <w:r w:rsidRPr="0000520C">
        <w:rPr>
          <w:rFonts w:cs="Arial"/>
          <w:b/>
          <w:i/>
          <w:color w:val="404040"/>
          <w:szCs w:val="24"/>
          <w:highlight w:val="green"/>
        </w:rPr>
        <w:t>and</w:t>
      </w:r>
      <w:r w:rsidRPr="006D096E">
        <w:rPr>
          <w:rFonts w:cs="Arial"/>
          <w:b/>
          <w:color w:val="404040"/>
          <w:szCs w:val="24"/>
          <w:highlight w:val="green"/>
        </w:rPr>
        <w:t xml:space="preserve"> normally received in the depository institution's principal place of business </w:t>
      </w:r>
      <w:r w:rsidRPr="0000520C">
        <w:rPr>
          <w:rFonts w:cs="Arial"/>
          <w:b/>
          <w:i/>
          <w:color w:val="404040"/>
          <w:szCs w:val="24"/>
          <w:highlight w:val="green"/>
        </w:rPr>
        <w:t>and</w:t>
      </w:r>
      <w:r w:rsidRPr="006D096E">
        <w:rPr>
          <w:rFonts w:cs="Arial"/>
          <w:b/>
          <w:color w:val="404040"/>
          <w:szCs w:val="24"/>
          <w:highlight w:val="green"/>
        </w:rPr>
        <w:t xml:space="preserve"> in all its branche</w:t>
      </w:r>
      <w:r>
        <w:rPr>
          <w:rFonts w:cs="Arial"/>
          <w:b/>
          <w:color w:val="404040"/>
          <w:szCs w:val="24"/>
          <w:highlight w:val="green"/>
        </w:rPr>
        <w:t>s.</w:t>
      </w:r>
    </w:p>
    <w:p w:rsidR="005F1099" w:rsidRDefault="005F1099" w:rsidP="005F1099">
      <w:pPr>
        <w:rPr>
          <w:rFonts w:cs="Arial"/>
          <w:b/>
          <w:color w:val="404040"/>
          <w:szCs w:val="24"/>
        </w:rPr>
      </w:pPr>
    </w:p>
    <w:p w:rsidR="005F1099" w:rsidRDefault="005F1099" w:rsidP="005F1099">
      <w:pPr>
        <w:rPr>
          <w:rFonts w:cs="Arial"/>
          <w:color w:val="404040"/>
          <w:szCs w:val="24"/>
        </w:rPr>
      </w:pPr>
      <w:r w:rsidRPr="00C52F49">
        <w:rPr>
          <w:rFonts w:cs="Arial"/>
          <w:color w:val="404040"/>
          <w:szCs w:val="24"/>
        </w:rPr>
        <w:t xml:space="preserve">The “official sign” [per </w:t>
      </w:r>
      <w:hyperlink r:id="rId12" w:history="1">
        <w:r w:rsidRPr="006D096E">
          <w:rPr>
            <w:rStyle w:val="Hyperlink"/>
            <w:rFonts w:cs="Arial"/>
            <w:color w:val="auto"/>
            <w:szCs w:val="24"/>
            <w:u w:val="none"/>
          </w:rPr>
          <w:t>12 CFR §328</w:t>
        </w:r>
      </w:hyperlink>
      <w:r w:rsidRPr="00C52F49">
        <w:rPr>
          <w:rFonts w:cs="Arial"/>
          <w:color w:val="404040"/>
          <w:szCs w:val="24"/>
        </w:rPr>
        <w:t xml:space="preserve">.1(a)] is </w:t>
      </w:r>
      <w:r w:rsidRPr="00C52F49">
        <w:rPr>
          <w:rFonts w:cs="Arial"/>
          <w:b/>
          <w:color w:val="404040"/>
          <w:szCs w:val="24"/>
          <w:highlight w:val="green"/>
        </w:rPr>
        <w:t>7" by 3" in size, with black lettering and gold background</w:t>
      </w:r>
      <w:r w:rsidRPr="00C52F49">
        <w:rPr>
          <w:rFonts w:cs="Arial"/>
          <w:color w:val="404040"/>
          <w:szCs w:val="24"/>
        </w:rPr>
        <w:t>, and of the following design:</w:t>
      </w:r>
    </w:p>
    <w:p w:rsidR="005F1099" w:rsidRDefault="005F1099" w:rsidP="005F1099">
      <w:pPr>
        <w:jc w:val="center"/>
        <w:rPr>
          <w:rFonts w:ascii="Arial" w:hAnsi="Arial" w:cs="Arial"/>
          <w:color w:val="404040"/>
          <w:sz w:val="20"/>
          <w:szCs w:val="20"/>
          <w:shd w:val="clear" w:color="auto" w:fill="FFFFFF"/>
        </w:rPr>
      </w:pPr>
      <w:r>
        <w:br/>
      </w:r>
      <w:r>
        <w:rPr>
          <w:noProof/>
        </w:rPr>
        <w:drawing>
          <wp:inline distT="0" distB="0" distL="0" distR="0" wp14:anchorId="0BF687E0" wp14:editId="0BC74AC2">
            <wp:extent cx="6436311" cy="2812172"/>
            <wp:effectExtent l="0" t="0" r="3175" b="7620"/>
            <wp:docPr id="1" name="Picture 1" descr="https://www.fdic.gov/regulations/laws/rules/2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dic.gov/regulations/laws/rules/2297.gif"/>
                    <pic:cNvPicPr>
                      <a:picLocks noChangeAspect="1" noChangeArrowheads="1"/>
                    </pic:cNvPicPr>
                  </pic:nvPicPr>
                  <pic:blipFill>
                    <a:blip r:embed="rId13">
                      <a:duotone>
                        <a:prstClr val="black"/>
                        <a:srgbClr val="D9C3A5">
                          <a:tint val="50000"/>
                          <a:satMod val="180000"/>
                        </a:srgbClr>
                      </a:duotone>
                      <a:extLst>
                        <a:ext uri="{BEBA8EAE-BF5A-486C-A8C5-ECC9F3942E4B}">
                          <a14:imgProps xmlns:a14="http://schemas.microsoft.com/office/drawing/2010/main">
                            <a14:imgLayer r:embed="rId14">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6461610" cy="2823226"/>
                    </a:xfrm>
                    <a:prstGeom prst="rect">
                      <a:avLst/>
                    </a:prstGeom>
                    <a:solidFill>
                      <a:schemeClr val="accent4">
                        <a:lumMod val="75000"/>
                      </a:schemeClr>
                    </a:solidFill>
                    <a:ln>
                      <a:noFill/>
                    </a:ln>
                  </pic:spPr>
                </pic:pic>
              </a:graphicData>
            </a:graphic>
          </wp:inline>
        </w:drawing>
      </w:r>
      <w:bookmarkStart w:id="0" w:name="_GoBack"/>
      <w:bookmarkEnd w:id="0"/>
      <w:r w:rsidRPr="00C52F49">
        <w:rPr>
          <w:rFonts w:cs="Arial"/>
          <w:color w:val="404040"/>
          <w:szCs w:val="24"/>
        </w:rPr>
        <w:br/>
      </w: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5F1099" w:rsidRDefault="005F1099" w:rsidP="005F1099">
      <w:pPr>
        <w:rPr>
          <w:rFonts w:ascii="Arial" w:hAnsi="Arial" w:cs="Arial"/>
          <w:color w:val="404040"/>
          <w:sz w:val="20"/>
          <w:szCs w:val="20"/>
          <w:shd w:val="clear" w:color="auto" w:fill="FFFFFF"/>
        </w:rPr>
      </w:pPr>
    </w:p>
    <w:p w:rsidR="00037421" w:rsidRDefault="00670DAB" w:rsidP="00E5552C">
      <w:pPr>
        <w:rPr>
          <w:rFonts w:cs="Arial"/>
          <w:szCs w:val="24"/>
          <w:shd w:val="clear" w:color="auto" w:fill="FFFFFF"/>
        </w:rPr>
      </w:pPr>
      <w:r>
        <w:rPr>
          <w:rFonts w:cs="Arial"/>
          <w:b/>
          <w:color w:val="404040"/>
          <w:szCs w:val="24"/>
          <w:shd w:val="clear" w:color="auto" w:fill="FFFFFF"/>
        </w:rPr>
        <w:lastRenderedPageBreak/>
        <w:t xml:space="preserve">Funds Availability Policy </w:t>
      </w:r>
      <w:r w:rsidRPr="00D27FFB">
        <w:rPr>
          <w:rFonts w:cs="Arial"/>
          <w:b/>
          <w:color w:val="404040"/>
          <w:szCs w:val="24"/>
          <w:shd w:val="clear" w:color="auto" w:fill="FFFFFF"/>
        </w:rPr>
        <w:t>Notice:</w:t>
      </w:r>
      <w:r>
        <w:rPr>
          <w:rFonts w:cs="Arial"/>
          <w:color w:val="404040"/>
          <w:szCs w:val="24"/>
          <w:shd w:val="clear" w:color="auto" w:fill="FFFFFF"/>
        </w:rPr>
        <w:t xml:space="preserve">  Per </w:t>
      </w:r>
      <w:hyperlink r:id="rId15" w:anchor="229.18" w:history="1">
        <w:r>
          <w:rPr>
            <w:rStyle w:val="Hyperlink"/>
            <w:rFonts w:cs="Arial"/>
            <w:color w:val="auto"/>
            <w:szCs w:val="24"/>
            <w:u w:val="none"/>
            <w:shd w:val="clear" w:color="auto" w:fill="FFFFFF"/>
          </w:rPr>
          <w:t>12 CFR §229.18</w:t>
        </w:r>
      </w:hyperlink>
      <w:r>
        <w:rPr>
          <w:rFonts w:cs="Arial"/>
          <w:szCs w:val="24"/>
          <w:shd w:val="clear" w:color="auto" w:fill="FFFFFF"/>
        </w:rPr>
        <w:t>(b), a</w:t>
      </w:r>
      <w:r w:rsidRPr="00670DAB">
        <w:rPr>
          <w:rFonts w:cs="Arial"/>
          <w:szCs w:val="24"/>
          <w:shd w:val="clear" w:color="auto" w:fill="FFFFFF"/>
        </w:rPr>
        <w:t xml:space="preserve"> bank shall </w:t>
      </w:r>
      <w:r w:rsidRPr="00CF0324">
        <w:rPr>
          <w:rFonts w:cs="Arial"/>
          <w:b/>
          <w:szCs w:val="24"/>
          <w:highlight w:val="green"/>
          <w:shd w:val="clear" w:color="auto" w:fill="FFFFFF"/>
        </w:rPr>
        <w:t>post i</w:t>
      </w:r>
      <w:r w:rsidRPr="00670DAB">
        <w:rPr>
          <w:rFonts w:cs="Arial"/>
          <w:b/>
          <w:szCs w:val="24"/>
          <w:highlight w:val="green"/>
          <w:shd w:val="clear" w:color="auto" w:fill="FFFFFF"/>
        </w:rPr>
        <w:t xml:space="preserve">n a </w:t>
      </w:r>
      <w:r w:rsidRPr="00670DAB">
        <w:rPr>
          <w:rFonts w:cs="Arial"/>
          <w:b/>
          <w:i/>
          <w:szCs w:val="24"/>
          <w:highlight w:val="green"/>
          <w:shd w:val="clear" w:color="auto" w:fill="FFFFFF"/>
        </w:rPr>
        <w:t>conspicuous</w:t>
      </w:r>
      <w:r w:rsidRPr="00670DAB">
        <w:rPr>
          <w:rFonts w:cs="Arial"/>
          <w:b/>
          <w:szCs w:val="24"/>
          <w:highlight w:val="green"/>
          <w:shd w:val="clear" w:color="auto" w:fill="FFFFFF"/>
        </w:rPr>
        <w:t xml:space="preserve"> place in each location where its employees receive deposits to consumer accounts</w:t>
      </w:r>
      <w:r w:rsidRPr="00670DAB">
        <w:rPr>
          <w:rFonts w:cs="Arial"/>
          <w:szCs w:val="24"/>
          <w:shd w:val="clear" w:color="auto" w:fill="FFFFFF"/>
        </w:rPr>
        <w:t xml:space="preserve"> a notice that sets forth the time periods applicable to the availability of funds deposited in a consumer account.</w:t>
      </w:r>
      <w:r w:rsidR="00037421">
        <w:rPr>
          <w:rFonts w:cs="Arial"/>
          <w:szCs w:val="24"/>
          <w:shd w:val="clear" w:color="auto" w:fill="FFFFFF"/>
        </w:rPr>
        <w:t xml:space="preserve">  The </w:t>
      </w:r>
      <w:hyperlink r:id="rId16" w:anchor="Appendix-E-to-Part-229" w:history="1">
        <w:r w:rsidR="00B44353" w:rsidRPr="00B44353">
          <w:rPr>
            <w:rStyle w:val="Hyperlink"/>
            <w:rFonts w:cs="Arial"/>
            <w:i/>
            <w:color w:val="auto"/>
            <w:szCs w:val="24"/>
            <w:u w:val="none"/>
            <w:shd w:val="clear" w:color="auto" w:fill="FFFFFF"/>
          </w:rPr>
          <w:t>Commentary</w:t>
        </w:r>
      </w:hyperlink>
      <w:r w:rsidR="00037421">
        <w:rPr>
          <w:rFonts w:cs="Arial"/>
          <w:szCs w:val="24"/>
          <w:shd w:val="clear" w:color="auto" w:fill="FFFFFF"/>
        </w:rPr>
        <w:t xml:space="preserve"> go</w:t>
      </w:r>
      <w:r w:rsidR="00B44353">
        <w:rPr>
          <w:rFonts w:cs="Arial"/>
          <w:szCs w:val="24"/>
          <w:shd w:val="clear" w:color="auto" w:fill="FFFFFF"/>
        </w:rPr>
        <w:t>es</w:t>
      </w:r>
      <w:r w:rsidR="00037421">
        <w:rPr>
          <w:rFonts w:cs="Arial"/>
          <w:szCs w:val="24"/>
          <w:shd w:val="clear" w:color="auto" w:fill="FFFFFF"/>
        </w:rPr>
        <w:t xml:space="preserve"> on to say, “</w:t>
      </w:r>
      <w:r w:rsidR="00B44353">
        <w:rPr>
          <w:rFonts w:cs="Arial"/>
          <w:szCs w:val="24"/>
          <w:shd w:val="clear" w:color="auto" w:fill="FFFFFF"/>
        </w:rPr>
        <w:t>[t]</w:t>
      </w:r>
      <w:r w:rsidR="00037421" w:rsidRPr="00DF5ABB">
        <w:rPr>
          <w:rFonts w:ascii="Times New Roman" w:hAnsi="Times New Roman" w:cs="Times New Roman"/>
        </w:rPr>
        <w:t xml:space="preserve">he notice need not be posted at each teller window, </w:t>
      </w:r>
      <w:r w:rsidR="00037421" w:rsidRPr="00DF5ABB">
        <w:rPr>
          <w:rFonts w:ascii="Times New Roman" w:hAnsi="Times New Roman" w:cs="Times New Roman"/>
          <w:i/>
        </w:rPr>
        <w:t>but</w:t>
      </w:r>
      <w:r w:rsidR="00037421" w:rsidRPr="00DF5ABB">
        <w:rPr>
          <w:rFonts w:ascii="Times New Roman" w:hAnsi="Times New Roman" w:cs="Times New Roman"/>
        </w:rPr>
        <w:t xml:space="preserve"> the notice must be posted in a place where consumers seeking to make deposits are </w:t>
      </w:r>
      <w:r w:rsidR="00037421" w:rsidRPr="009F3049">
        <w:rPr>
          <w:rFonts w:ascii="Times New Roman" w:hAnsi="Times New Roman" w:cs="Times New Roman"/>
          <w:i/>
        </w:rPr>
        <w:t>likely</w:t>
      </w:r>
      <w:r w:rsidR="00037421" w:rsidRPr="00DF5ABB">
        <w:rPr>
          <w:rFonts w:ascii="Times New Roman" w:hAnsi="Times New Roman" w:cs="Times New Roman"/>
        </w:rPr>
        <w:t xml:space="preserve"> to see it before making their deposits.</w:t>
      </w:r>
      <w:r w:rsidR="009F3049">
        <w:rPr>
          <w:rFonts w:ascii="Times New Roman" w:hAnsi="Times New Roman" w:cs="Times New Roman"/>
        </w:rPr>
        <w:t xml:space="preserve">  </w:t>
      </w:r>
      <w:r w:rsidR="009F3049" w:rsidRPr="009F3049">
        <w:rPr>
          <w:rFonts w:ascii="Times New Roman" w:hAnsi="Times New Roman" w:cs="Times New Roman"/>
        </w:rPr>
        <w:t>For example, the notice might be posted at the point where the line forms for teller service in the lobby.</w:t>
      </w:r>
      <w:r w:rsidR="00037421">
        <w:rPr>
          <w:rFonts w:cs="Arial"/>
          <w:szCs w:val="24"/>
          <w:shd w:val="clear" w:color="auto" w:fill="FFFFFF"/>
        </w:rPr>
        <w:t>”</w:t>
      </w:r>
    </w:p>
    <w:p w:rsidR="00A321B5" w:rsidRDefault="00A321B5" w:rsidP="00E5552C">
      <w:pPr>
        <w:rPr>
          <w:rFonts w:cs="Arial"/>
          <w:szCs w:val="24"/>
          <w:shd w:val="clear" w:color="auto" w:fill="FFFFFF"/>
        </w:rPr>
      </w:pPr>
    </w:p>
    <w:p w:rsidR="00A321B5" w:rsidRDefault="00A321B5" w:rsidP="00E5552C">
      <w:pPr>
        <w:rPr>
          <w:rFonts w:cs="Arial"/>
          <w:szCs w:val="24"/>
          <w:shd w:val="clear" w:color="auto" w:fill="FFFFFF"/>
        </w:rPr>
      </w:pPr>
      <w:r>
        <w:rPr>
          <w:rFonts w:cs="Arial"/>
          <w:szCs w:val="24"/>
          <w:shd w:val="clear" w:color="auto" w:fill="FFFFFF"/>
        </w:rPr>
        <w:t xml:space="preserve">The </w:t>
      </w:r>
      <w:r w:rsidR="00F473B5">
        <w:rPr>
          <w:rFonts w:cs="Arial"/>
          <w:szCs w:val="24"/>
          <w:shd w:val="clear" w:color="auto" w:fill="FFFFFF"/>
        </w:rPr>
        <w:t xml:space="preserve">“Model </w:t>
      </w:r>
      <w:r w:rsidR="00B31ECE">
        <w:rPr>
          <w:rFonts w:cs="Arial"/>
          <w:szCs w:val="24"/>
          <w:shd w:val="clear" w:color="auto" w:fill="FFFFFF"/>
        </w:rPr>
        <w:t>Notice</w:t>
      </w:r>
      <w:r w:rsidR="00F473B5">
        <w:rPr>
          <w:rFonts w:cs="Arial"/>
          <w:szCs w:val="24"/>
          <w:shd w:val="clear" w:color="auto" w:fill="FFFFFF"/>
        </w:rPr>
        <w:t>”</w:t>
      </w:r>
      <w:r w:rsidR="00B31ECE">
        <w:rPr>
          <w:rFonts w:cs="Arial"/>
          <w:szCs w:val="24"/>
          <w:shd w:val="clear" w:color="auto" w:fill="FFFFFF"/>
        </w:rPr>
        <w:t xml:space="preserve"> language</w:t>
      </w:r>
      <w:r w:rsidR="00F473B5">
        <w:rPr>
          <w:rFonts w:cs="Arial"/>
          <w:szCs w:val="24"/>
          <w:shd w:val="clear" w:color="auto" w:fill="FFFFFF"/>
        </w:rPr>
        <w:t xml:space="preserve"> is found in </w:t>
      </w:r>
      <w:hyperlink r:id="rId17" w:anchor="Appendix-C-to-Part-229" w:history="1">
        <w:r w:rsidR="00B31ECE" w:rsidRPr="00B31ECE">
          <w:rPr>
            <w:rStyle w:val="Hyperlink"/>
            <w:rFonts w:cs="Arial"/>
            <w:i/>
            <w:color w:val="auto"/>
            <w:szCs w:val="24"/>
            <w:u w:val="none"/>
            <w:shd w:val="clear" w:color="auto" w:fill="FFFFFF"/>
          </w:rPr>
          <w:t>A</w:t>
        </w:r>
        <w:r w:rsidR="00F473B5" w:rsidRPr="00B31ECE">
          <w:rPr>
            <w:rStyle w:val="Hyperlink"/>
            <w:rFonts w:cs="Arial"/>
            <w:i/>
            <w:color w:val="auto"/>
            <w:szCs w:val="24"/>
            <w:u w:val="none"/>
            <w:shd w:val="clear" w:color="auto" w:fill="FFFFFF"/>
          </w:rPr>
          <w:t>ppendix C</w:t>
        </w:r>
      </w:hyperlink>
      <w:r w:rsidR="00F473B5">
        <w:rPr>
          <w:rFonts w:cs="Arial"/>
          <w:szCs w:val="24"/>
          <w:shd w:val="clear" w:color="auto" w:fill="FFFFFF"/>
        </w:rPr>
        <w:t>, Model Clause C-18:</w:t>
      </w:r>
    </w:p>
    <w:p w:rsidR="00F473B5" w:rsidRDefault="00F473B5" w:rsidP="00E5552C">
      <w:pPr>
        <w:rPr>
          <w:rFonts w:cs="Arial"/>
          <w:szCs w:val="24"/>
          <w:shd w:val="clear" w:color="auto" w:fill="FFFFFF"/>
        </w:rPr>
      </w:pPr>
    </w:p>
    <w:p w:rsidR="00F473B5" w:rsidRPr="00F473B5" w:rsidRDefault="00F473B5" w:rsidP="00F473B5">
      <w:pPr>
        <w:ind w:left="360"/>
        <w:rPr>
          <w:rFonts w:ascii="Times New Roman" w:eastAsia="Times New Roman" w:hAnsi="Times New Roman" w:cs="Times New Roman"/>
          <w:szCs w:val="24"/>
        </w:rPr>
      </w:pPr>
      <w:r w:rsidRPr="00F473B5">
        <w:rPr>
          <w:rFonts w:ascii="Times New Roman" w:eastAsia="Times New Roman" w:hAnsi="Times New Roman" w:cs="Times New Roman"/>
          <w:szCs w:val="24"/>
        </w:rPr>
        <w:t xml:space="preserve">FUNDS AVAILABILITY POLICY </w:t>
      </w:r>
    </w:p>
    <w:p w:rsidR="00F473B5" w:rsidRDefault="00F473B5" w:rsidP="00F473B5">
      <w:pPr>
        <w:ind w:left="360"/>
        <w:rPr>
          <w:rFonts w:ascii="Times New Roman" w:eastAsia="Times New Roman" w:hAnsi="Times New Roman" w:cs="Times New Roman"/>
          <w:szCs w:val="24"/>
        </w:rPr>
      </w:pPr>
    </w:p>
    <w:p w:rsidR="00F473B5" w:rsidRPr="00F473B5" w:rsidRDefault="00F473B5" w:rsidP="00F473B5">
      <w:pPr>
        <w:ind w:left="360"/>
        <w:rPr>
          <w:rFonts w:ascii="Times New Roman" w:eastAsia="Times New Roman" w:hAnsi="Times New Roman" w:cs="Times New Roman"/>
          <w:szCs w:val="24"/>
        </w:rPr>
      </w:pPr>
      <w:r w:rsidRPr="00F473B5">
        <w:rPr>
          <w:rFonts w:ascii="Times New Roman" w:eastAsia="Times New Roman" w:hAnsi="Times New Roman" w:cs="Times New Roman"/>
          <w:szCs w:val="24"/>
        </w:rPr>
        <w:t xml:space="preserve">Our general policy is to allow you to withdraw funds deposited in your account on the </w:t>
      </w:r>
      <w:r>
        <w:rPr>
          <w:rFonts w:ascii="Times New Roman" w:eastAsia="Times New Roman" w:hAnsi="Times New Roman" w:cs="Times New Roman"/>
          <w:szCs w:val="24"/>
        </w:rPr>
        <w:t>first</w:t>
      </w:r>
      <w:r w:rsidRPr="00F473B5">
        <w:rPr>
          <w:rFonts w:ascii="Times New Roman" w:eastAsia="Times New Roman" w:hAnsi="Times New Roman" w:cs="Times New Roman"/>
          <w:szCs w:val="24"/>
        </w:rPr>
        <w:t xml:space="preserve"> business day after the day we receive your deposit. </w:t>
      </w:r>
      <w:r>
        <w:rPr>
          <w:rFonts w:ascii="Times New Roman" w:eastAsia="Times New Roman" w:hAnsi="Times New Roman" w:cs="Times New Roman"/>
          <w:szCs w:val="24"/>
        </w:rPr>
        <w:t xml:space="preserve"> </w:t>
      </w:r>
      <w:r w:rsidRPr="00F473B5">
        <w:rPr>
          <w:rFonts w:ascii="Times New Roman" w:eastAsia="Times New Roman" w:hAnsi="Times New Roman" w:cs="Times New Roman"/>
          <w:szCs w:val="24"/>
        </w:rPr>
        <w:t xml:space="preserve">Funds from electronic direct deposits will be available on the day we receive the deposit. </w:t>
      </w:r>
      <w:r>
        <w:rPr>
          <w:rFonts w:ascii="Times New Roman" w:eastAsia="Times New Roman" w:hAnsi="Times New Roman" w:cs="Times New Roman"/>
          <w:szCs w:val="24"/>
        </w:rPr>
        <w:t xml:space="preserve"> </w:t>
      </w:r>
      <w:r w:rsidRPr="00F473B5">
        <w:rPr>
          <w:rFonts w:ascii="Times New Roman" w:eastAsia="Times New Roman" w:hAnsi="Times New Roman" w:cs="Times New Roman"/>
          <w:szCs w:val="24"/>
        </w:rPr>
        <w:t xml:space="preserve">In some cases, we may delay your ability to withdraw funds beyond the </w:t>
      </w:r>
      <w:r>
        <w:rPr>
          <w:rFonts w:ascii="Times New Roman" w:eastAsia="Times New Roman" w:hAnsi="Times New Roman" w:cs="Times New Roman"/>
          <w:szCs w:val="24"/>
        </w:rPr>
        <w:t>first</w:t>
      </w:r>
      <w:r w:rsidRPr="00F473B5">
        <w:rPr>
          <w:rFonts w:ascii="Times New Roman" w:eastAsia="Times New Roman" w:hAnsi="Times New Roman" w:cs="Times New Roman"/>
          <w:szCs w:val="24"/>
        </w:rPr>
        <w:t xml:space="preserve"> business day. </w:t>
      </w:r>
      <w:r>
        <w:rPr>
          <w:rFonts w:ascii="Times New Roman" w:eastAsia="Times New Roman" w:hAnsi="Times New Roman" w:cs="Times New Roman"/>
          <w:szCs w:val="24"/>
        </w:rPr>
        <w:t xml:space="preserve"> </w:t>
      </w:r>
      <w:r w:rsidRPr="00F473B5">
        <w:rPr>
          <w:rFonts w:ascii="Times New Roman" w:eastAsia="Times New Roman" w:hAnsi="Times New Roman" w:cs="Times New Roman"/>
          <w:szCs w:val="24"/>
        </w:rPr>
        <w:t xml:space="preserve">Then, the funds will generally be available by the </w:t>
      </w:r>
      <w:r>
        <w:rPr>
          <w:rFonts w:ascii="Times New Roman" w:eastAsia="Times New Roman" w:hAnsi="Times New Roman" w:cs="Times New Roman"/>
          <w:szCs w:val="24"/>
        </w:rPr>
        <w:t>second</w:t>
      </w:r>
      <w:r w:rsidRPr="00F473B5">
        <w:rPr>
          <w:rFonts w:ascii="Times New Roman" w:eastAsia="Times New Roman" w:hAnsi="Times New Roman" w:cs="Times New Roman"/>
          <w:szCs w:val="24"/>
        </w:rPr>
        <w:t xml:space="preserve"> business day after the day of deposit.</w:t>
      </w:r>
    </w:p>
    <w:p w:rsidR="00F473B5" w:rsidRPr="009F3049" w:rsidRDefault="00F473B5" w:rsidP="00E5552C">
      <w:pPr>
        <w:rPr>
          <w:rFonts w:cs="Arial"/>
          <w:szCs w:val="24"/>
          <w:shd w:val="clear" w:color="auto" w:fill="FFFFFF"/>
        </w:rPr>
      </w:pPr>
    </w:p>
    <w:p w:rsidR="00037421" w:rsidRDefault="00037421"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Default="00D74AF2" w:rsidP="00E5552C">
      <w:pPr>
        <w:rPr>
          <w:rFonts w:cs="Arial"/>
          <w:szCs w:val="24"/>
          <w:shd w:val="clear" w:color="auto" w:fill="FFFFFF"/>
        </w:rPr>
      </w:pPr>
    </w:p>
    <w:p w:rsidR="00D74AF2" w:rsidRPr="009F3049" w:rsidRDefault="00D74AF2" w:rsidP="00E5552C">
      <w:pPr>
        <w:rPr>
          <w:rFonts w:cs="Arial"/>
          <w:szCs w:val="24"/>
          <w:shd w:val="clear" w:color="auto" w:fill="FFFFFF"/>
        </w:rPr>
      </w:pPr>
    </w:p>
    <w:p w:rsidR="005F1099" w:rsidRDefault="005F1099" w:rsidP="005F1099">
      <w:pPr>
        <w:rPr>
          <w:rFonts w:cs="Arial"/>
          <w:color w:val="101820"/>
        </w:rPr>
      </w:pPr>
      <w:r w:rsidRPr="00D27FFB">
        <w:rPr>
          <w:rFonts w:cs="Arial"/>
          <w:b/>
          <w:color w:val="404040"/>
          <w:szCs w:val="24"/>
          <w:shd w:val="clear" w:color="auto" w:fill="FFFFFF"/>
        </w:rPr>
        <w:lastRenderedPageBreak/>
        <w:t>Home Mortgage Disclosure Act (HMDA) Notice:</w:t>
      </w:r>
      <w:r>
        <w:rPr>
          <w:rFonts w:cs="Arial"/>
          <w:color w:val="404040"/>
          <w:szCs w:val="24"/>
          <w:shd w:val="clear" w:color="auto" w:fill="FFFFFF"/>
        </w:rPr>
        <w:t xml:space="preserve">  Per </w:t>
      </w:r>
      <w:hyperlink r:id="rId18" w:anchor="e" w:history="1">
        <w:r w:rsidRPr="00E634E6">
          <w:rPr>
            <w:rStyle w:val="Hyperlink"/>
            <w:rFonts w:cs="Arial"/>
            <w:color w:val="auto"/>
            <w:szCs w:val="24"/>
            <w:u w:val="none"/>
            <w:shd w:val="clear" w:color="auto" w:fill="FFFFFF"/>
          </w:rPr>
          <w:t>12 CFR §1003.5(e)</w:t>
        </w:r>
      </w:hyperlink>
      <w:r>
        <w:rPr>
          <w:rFonts w:cs="Arial"/>
          <w:color w:val="404040"/>
          <w:szCs w:val="24"/>
          <w:shd w:val="clear" w:color="auto" w:fill="FFFFFF"/>
        </w:rPr>
        <w:t>, a</w:t>
      </w:r>
      <w:r w:rsidRPr="00E634E6">
        <w:rPr>
          <w:rFonts w:cs="Arial"/>
          <w:color w:val="404040"/>
          <w:szCs w:val="24"/>
          <w:shd w:val="clear" w:color="auto" w:fill="FFFFFF"/>
        </w:rPr>
        <w:t xml:space="preserve"> financial institution shall </w:t>
      </w:r>
      <w:r w:rsidRPr="00CF0324">
        <w:rPr>
          <w:rFonts w:cs="Arial"/>
          <w:b/>
          <w:color w:val="404040"/>
          <w:szCs w:val="24"/>
          <w:highlight w:val="green"/>
          <w:shd w:val="clear" w:color="auto" w:fill="FFFFFF"/>
        </w:rPr>
        <w:t>post a general notice</w:t>
      </w:r>
      <w:r w:rsidRPr="00E634E6">
        <w:rPr>
          <w:rFonts w:cs="Arial"/>
          <w:color w:val="404040"/>
          <w:szCs w:val="24"/>
          <w:shd w:val="clear" w:color="auto" w:fill="FFFFFF"/>
        </w:rPr>
        <w:t xml:space="preserve"> about the availability of its HMDA data </w:t>
      </w:r>
      <w:r w:rsidRPr="00E634E6">
        <w:rPr>
          <w:rFonts w:cs="Arial"/>
          <w:b/>
          <w:color w:val="404040"/>
          <w:szCs w:val="24"/>
          <w:highlight w:val="green"/>
          <w:shd w:val="clear" w:color="auto" w:fill="FFFFFF"/>
        </w:rPr>
        <w:t xml:space="preserve">in the lobby of its home office </w:t>
      </w:r>
      <w:r w:rsidRPr="00E634E6">
        <w:rPr>
          <w:rFonts w:cs="Arial"/>
          <w:b/>
          <w:i/>
          <w:color w:val="404040"/>
          <w:szCs w:val="24"/>
          <w:highlight w:val="green"/>
          <w:shd w:val="clear" w:color="auto" w:fill="FFFFFF"/>
        </w:rPr>
        <w:t>and</w:t>
      </w:r>
      <w:r w:rsidRPr="00CF34A7">
        <w:rPr>
          <w:rFonts w:cs="Arial"/>
          <w:b/>
          <w:color w:val="404040"/>
          <w:szCs w:val="24"/>
          <w:shd w:val="clear" w:color="auto" w:fill="FFFFFF"/>
        </w:rPr>
        <w:t xml:space="preserve"> of </w:t>
      </w:r>
      <w:r w:rsidRPr="00E634E6">
        <w:rPr>
          <w:rFonts w:cs="Arial"/>
          <w:b/>
          <w:color w:val="404040"/>
          <w:szCs w:val="24"/>
          <w:highlight w:val="green"/>
          <w:shd w:val="clear" w:color="auto" w:fill="FFFFFF"/>
        </w:rPr>
        <w:t xml:space="preserve">each branch office physically located in each </w:t>
      </w:r>
      <w:r>
        <w:rPr>
          <w:rFonts w:cs="Arial"/>
          <w:b/>
          <w:color w:val="404040"/>
          <w:szCs w:val="24"/>
          <w:highlight w:val="green"/>
          <w:shd w:val="clear" w:color="auto" w:fill="FFFFFF"/>
        </w:rPr>
        <w:t>Metropolitan Statistical Area (</w:t>
      </w:r>
      <w:r w:rsidRPr="00E634E6">
        <w:rPr>
          <w:rFonts w:cs="Arial"/>
          <w:b/>
          <w:color w:val="404040"/>
          <w:szCs w:val="24"/>
          <w:highlight w:val="green"/>
          <w:shd w:val="clear" w:color="auto" w:fill="FFFFFF"/>
        </w:rPr>
        <w:t>MSA</w:t>
      </w:r>
      <w:r>
        <w:rPr>
          <w:rFonts w:cs="Arial"/>
          <w:b/>
          <w:color w:val="404040"/>
          <w:szCs w:val="24"/>
          <w:highlight w:val="green"/>
          <w:shd w:val="clear" w:color="auto" w:fill="FFFFFF"/>
        </w:rPr>
        <w:t>)</w:t>
      </w:r>
      <w:r w:rsidRPr="00E634E6">
        <w:rPr>
          <w:rFonts w:cs="Arial"/>
          <w:b/>
          <w:color w:val="404040"/>
          <w:szCs w:val="24"/>
          <w:highlight w:val="green"/>
          <w:shd w:val="clear" w:color="auto" w:fill="FFFFFF"/>
        </w:rPr>
        <w:t xml:space="preserve"> </w:t>
      </w:r>
      <w:r w:rsidRPr="00CF34A7">
        <w:rPr>
          <w:rFonts w:cs="Arial"/>
          <w:b/>
          <w:i/>
          <w:color w:val="404040"/>
          <w:szCs w:val="24"/>
          <w:highlight w:val="green"/>
          <w:shd w:val="clear" w:color="auto" w:fill="FFFFFF"/>
        </w:rPr>
        <w:t>and</w:t>
      </w:r>
      <w:r w:rsidRPr="00E634E6">
        <w:rPr>
          <w:rFonts w:cs="Arial"/>
          <w:b/>
          <w:color w:val="404040"/>
          <w:szCs w:val="24"/>
          <w:highlight w:val="green"/>
          <w:shd w:val="clear" w:color="auto" w:fill="FFFFFF"/>
        </w:rPr>
        <w:t xml:space="preserve"> each </w:t>
      </w:r>
      <w:r>
        <w:rPr>
          <w:rFonts w:cs="Arial"/>
          <w:b/>
          <w:color w:val="404040"/>
          <w:szCs w:val="24"/>
          <w:highlight w:val="green"/>
          <w:shd w:val="clear" w:color="auto" w:fill="FFFFFF"/>
        </w:rPr>
        <w:t>Metropolitan Division (</w:t>
      </w:r>
      <w:r w:rsidRPr="00E634E6">
        <w:rPr>
          <w:rFonts w:cs="Arial"/>
          <w:b/>
          <w:color w:val="404040"/>
          <w:szCs w:val="24"/>
          <w:highlight w:val="green"/>
          <w:shd w:val="clear" w:color="auto" w:fill="FFFFFF"/>
        </w:rPr>
        <w:t>M</w:t>
      </w:r>
      <w:r>
        <w:rPr>
          <w:rFonts w:cs="Arial"/>
          <w:b/>
          <w:color w:val="404040"/>
          <w:szCs w:val="24"/>
          <w:highlight w:val="green"/>
          <w:shd w:val="clear" w:color="auto" w:fill="FFFFFF"/>
        </w:rPr>
        <w:t>D)</w:t>
      </w:r>
      <w:r w:rsidRPr="00E634E6">
        <w:rPr>
          <w:rFonts w:cs="Arial"/>
          <w:color w:val="404040"/>
          <w:szCs w:val="24"/>
          <w:shd w:val="clear" w:color="auto" w:fill="FFFFFF"/>
        </w:rPr>
        <w:t>.</w:t>
      </w:r>
      <w:r>
        <w:rPr>
          <w:rFonts w:cs="Arial"/>
          <w:color w:val="404040"/>
          <w:szCs w:val="24"/>
          <w:shd w:val="clear" w:color="auto" w:fill="FFFFFF"/>
        </w:rPr>
        <w:t xml:space="preserve"> </w:t>
      </w:r>
      <w:r w:rsidRPr="00E634E6">
        <w:rPr>
          <w:rFonts w:cs="Arial"/>
          <w:color w:val="404040"/>
          <w:szCs w:val="24"/>
          <w:shd w:val="clear" w:color="auto" w:fill="FFFFFF"/>
        </w:rPr>
        <w:t xml:space="preserve"> This notice must clearly convey that the institution's HMDA data is available on the Bureau's Web site at </w:t>
      </w:r>
      <w:hyperlink r:id="rId19" w:history="1">
        <w:r w:rsidRPr="009B2053">
          <w:rPr>
            <w:rStyle w:val="Hyperlink"/>
            <w:rFonts w:cs="Arial"/>
            <w:szCs w:val="24"/>
            <w:shd w:val="clear" w:color="auto" w:fill="FFFFFF"/>
          </w:rPr>
          <w:t>www.consumerfinance.gov/hmda</w:t>
        </w:r>
      </w:hyperlink>
      <w:r w:rsidRPr="00E634E6">
        <w:rPr>
          <w:rFonts w:cs="Arial"/>
          <w:color w:val="404040"/>
          <w:szCs w:val="24"/>
          <w:shd w:val="clear" w:color="auto" w:fill="FFFFFF"/>
        </w:rPr>
        <w:t>.</w:t>
      </w:r>
    </w:p>
    <w:p w:rsidR="005F1099" w:rsidRDefault="005F1099" w:rsidP="005F1099">
      <w:pPr>
        <w:rPr>
          <w:rFonts w:cs="Arial"/>
          <w:color w:val="101820"/>
        </w:rPr>
      </w:pPr>
    </w:p>
    <w:p w:rsidR="005F1099" w:rsidRDefault="005F1099" w:rsidP="005F1099">
      <w:pPr>
        <w:rPr>
          <w:rFonts w:cs="Arial"/>
          <w:color w:val="101820"/>
        </w:rPr>
      </w:pPr>
      <w:r>
        <w:rPr>
          <w:rFonts w:cs="Arial"/>
          <w:color w:val="101820"/>
        </w:rPr>
        <w:t xml:space="preserve">Per HMDA’s </w:t>
      </w:r>
      <w:r w:rsidRPr="00BF19EB">
        <w:rPr>
          <w:rFonts w:cs="Arial"/>
          <w:i/>
          <w:color w:val="101820"/>
        </w:rPr>
        <w:t>Official Interpretations</w:t>
      </w:r>
      <w:r>
        <w:rPr>
          <w:rFonts w:cs="Arial"/>
          <w:color w:val="101820"/>
        </w:rPr>
        <w:t xml:space="preserve">, </w:t>
      </w:r>
      <w:hyperlink r:id="rId20" w:anchor="5-e-Interp-1" w:history="1">
        <w:r w:rsidRPr="00E634E6">
          <w:rPr>
            <w:rStyle w:val="Hyperlink"/>
            <w:rFonts w:cs="Arial"/>
            <w:color w:val="auto"/>
            <w:u w:val="none"/>
          </w:rPr>
          <w:t>Comment 5(e)-1</w:t>
        </w:r>
      </w:hyperlink>
      <w:r>
        <w:rPr>
          <w:rFonts w:cs="Arial"/>
          <w:color w:val="101820"/>
        </w:rPr>
        <w:t xml:space="preserve">, bank </w:t>
      </w:r>
      <w:r w:rsidRPr="00E634E6">
        <w:rPr>
          <w:rFonts w:cs="Arial"/>
          <w:i/>
          <w:color w:val="101820"/>
        </w:rPr>
        <w:t>may</w:t>
      </w:r>
      <w:r>
        <w:rPr>
          <w:rFonts w:cs="Arial"/>
          <w:color w:val="101820"/>
        </w:rPr>
        <w:t xml:space="preserve"> use the following </w:t>
      </w:r>
      <w:r w:rsidRPr="00E634E6">
        <w:rPr>
          <w:rFonts w:cs="Arial"/>
          <w:i/>
          <w:color w:val="101820"/>
        </w:rPr>
        <w:t>suggested</w:t>
      </w:r>
      <w:r>
        <w:rPr>
          <w:rFonts w:cs="Arial"/>
          <w:color w:val="101820"/>
        </w:rPr>
        <w:t xml:space="preserve"> text:</w:t>
      </w:r>
    </w:p>
    <w:p w:rsidR="005F1099" w:rsidRDefault="005F1099" w:rsidP="005F1099">
      <w:pPr>
        <w:rPr>
          <w:rFonts w:cs="Arial"/>
          <w:color w:val="101820"/>
        </w:rPr>
      </w:pPr>
    </w:p>
    <w:p w:rsidR="005F1099" w:rsidRDefault="005F1099" w:rsidP="005F1099">
      <w:pPr>
        <w:ind w:left="360"/>
        <w:rPr>
          <w:rFonts w:ascii="Arial" w:hAnsi="Arial" w:cs="Arial"/>
          <w:color w:val="101820"/>
        </w:rPr>
      </w:pPr>
      <w:r>
        <w:rPr>
          <w:rFonts w:ascii="Arial" w:hAnsi="Arial" w:cs="Arial"/>
          <w:color w:val="101820"/>
        </w:rPr>
        <w:t>For years 2018 to Current</w:t>
      </w:r>
    </w:p>
    <w:p w:rsidR="005F1099" w:rsidRDefault="005F1099" w:rsidP="005F1099">
      <w:pPr>
        <w:ind w:left="360"/>
        <w:rPr>
          <w:rFonts w:ascii="Arial" w:hAnsi="Arial" w:cs="Arial"/>
          <w:color w:val="101820"/>
        </w:rPr>
      </w:pPr>
      <w:r>
        <w:rPr>
          <w:rFonts w:ascii="Arial" w:hAnsi="Arial" w:cs="Arial"/>
          <w:color w:val="101820"/>
        </w:rPr>
        <w:t>Home Mortgage Disclosure Act Notice</w:t>
      </w:r>
    </w:p>
    <w:p w:rsidR="005F1099" w:rsidRDefault="005F1099" w:rsidP="005F1099">
      <w:pPr>
        <w:ind w:left="360"/>
        <w:rPr>
          <w:rFonts w:ascii="Arial" w:hAnsi="Arial" w:cs="Arial"/>
          <w:color w:val="101820"/>
        </w:rPr>
      </w:pPr>
    </w:p>
    <w:p w:rsidR="005F1099" w:rsidRDefault="005F1099" w:rsidP="005F1099">
      <w:pPr>
        <w:ind w:left="360"/>
        <w:rPr>
          <w:rFonts w:cs="Arial"/>
          <w:color w:val="101820"/>
        </w:rPr>
      </w:pPr>
      <w:r>
        <w:rPr>
          <w:rStyle w:val="Strong"/>
          <w:rFonts w:ascii="Arial" w:hAnsi="Arial" w:cs="Arial"/>
          <w:color w:val="101820"/>
        </w:rPr>
        <w:t>The HMDA data about our residential mortgage lending are available online for review.  The data show geographic distribution of loans and applications; ethnicity, race, sex, age, and income of applicants and borrowers; and information about loan approvals and denials.  HMDA data for many other financial institutions are also available online.  For more information, visit the Consumer Financial Protection Bureau's Web site</w:t>
      </w:r>
      <w:r>
        <w:rPr>
          <w:rFonts w:ascii="Arial" w:hAnsi="Arial" w:cs="Arial"/>
          <w:color w:val="101820"/>
        </w:rPr>
        <w:t> (</w:t>
      </w:r>
      <w:r>
        <w:rPr>
          <w:rStyle w:val="Emphasis"/>
          <w:rFonts w:ascii="Arial" w:hAnsi="Arial" w:cs="Arial"/>
          <w:color w:val="101820"/>
        </w:rPr>
        <w:t>www.consumerfinance.gov/hmda</w:t>
      </w:r>
      <w:r>
        <w:rPr>
          <w:rFonts w:ascii="Arial" w:hAnsi="Arial" w:cs="Arial"/>
          <w:color w:val="101820"/>
        </w:rPr>
        <w:t>).</w:t>
      </w:r>
    </w:p>
    <w:p w:rsidR="005F1099" w:rsidRDefault="005F1099" w:rsidP="005F1099">
      <w:pPr>
        <w:rPr>
          <w:rFonts w:cs="Arial"/>
          <w:color w:val="404040"/>
          <w:szCs w:val="24"/>
          <w:shd w:val="clear" w:color="auto" w:fill="FFFFFF"/>
        </w:rPr>
      </w:pPr>
    </w:p>
    <w:p w:rsidR="005F1099" w:rsidRDefault="005F1099" w:rsidP="005F1099">
      <w:pPr>
        <w:rPr>
          <w:rFonts w:cs="Arial"/>
          <w:color w:val="404040"/>
          <w:szCs w:val="24"/>
          <w:shd w:val="clear" w:color="auto" w:fill="FFFFFF"/>
        </w:rPr>
      </w:pPr>
      <w:r>
        <w:rPr>
          <w:rFonts w:cs="Arial"/>
          <w:color w:val="404040"/>
          <w:szCs w:val="24"/>
          <w:shd w:val="clear" w:color="auto" w:fill="FFFFFF"/>
        </w:rPr>
        <w:t xml:space="preserve">The previously </w:t>
      </w:r>
      <w:r w:rsidRPr="008C3096">
        <w:rPr>
          <w:rFonts w:cs="Arial"/>
          <w:i/>
          <w:color w:val="404040"/>
          <w:szCs w:val="24"/>
          <w:shd w:val="clear" w:color="auto" w:fill="FFFFFF"/>
        </w:rPr>
        <w:t>recommended</w:t>
      </w:r>
      <w:r>
        <w:rPr>
          <w:rFonts w:cs="Arial"/>
          <w:color w:val="404040"/>
          <w:szCs w:val="24"/>
          <w:shd w:val="clear" w:color="auto" w:fill="FFFFFF"/>
        </w:rPr>
        <w:t xml:space="preserve"> language reads:</w:t>
      </w:r>
    </w:p>
    <w:p w:rsidR="005F1099" w:rsidRDefault="005F1099" w:rsidP="005F1099">
      <w:pPr>
        <w:rPr>
          <w:rFonts w:cs="Arial"/>
          <w:color w:val="404040"/>
          <w:szCs w:val="24"/>
          <w:shd w:val="clear" w:color="auto" w:fill="FFFFFF"/>
        </w:rPr>
      </w:pPr>
    </w:p>
    <w:p w:rsidR="005F1099" w:rsidRDefault="005F1099" w:rsidP="005F1099">
      <w:pPr>
        <w:ind w:left="360"/>
        <w:rPr>
          <w:rFonts w:cs="Arial"/>
          <w:color w:val="404040"/>
          <w:szCs w:val="24"/>
          <w:shd w:val="clear" w:color="auto" w:fill="FFFFFF"/>
        </w:rPr>
      </w:pPr>
      <w:r>
        <w:rPr>
          <w:rFonts w:cs="Arial"/>
          <w:color w:val="404040"/>
          <w:szCs w:val="24"/>
          <w:shd w:val="clear" w:color="auto" w:fill="FFFFFF"/>
        </w:rPr>
        <w:t>For years up to and including 2017</w:t>
      </w:r>
    </w:p>
    <w:p w:rsidR="005F1099" w:rsidRDefault="005F1099" w:rsidP="005F1099">
      <w:pPr>
        <w:rPr>
          <w:rFonts w:cs="Arial"/>
          <w:color w:val="404040"/>
          <w:szCs w:val="24"/>
          <w:shd w:val="clear" w:color="auto" w:fill="FFFFFF"/>
        </w:rPr>
      </w:pPr>
    </w:p>
    <w:p w:rsidR="005F1099" w:rsidRPr="00774820" w:rsidRDefault="005F1099" w:rsidP="005F1099">
      <w:pPr>
        <w:shd w:val="clear" w:color="auto" w:fill="FFFFFF"/>
        <w:ind w:left="360"/>
        <w:jc w:val="center"/>
        <w:rPr>
          <w:rStyle w:val="Hyperlink"/>
          <w:rFonts w:ascii="Arial" w:eastAsia="Times New Roman" w:hAnsi="Arial" w:cs="Arial"/>
          <w:color w:val="auto"/>
          <w:sz w:val="19"/>
          <w:szCs w:val="19"/>
          <w:u w:val="none"/>
        </w:rPr>
      </w:pPr>
      <w:r w:rsidRPr="00774820">
        <w:rPr>
          <w:rFonts w:ascii="Arial" w:eastAsia="Times New Roman" w:hAnsi="Arial" w:cs="Arial"/>
          <w:sz w:val="19"/>
          <w:szCs w:val="19"/>
        </w:rPr>
        <w:fldChar w:fldCharType="begin"/>
      </w:r>
      <w:r w:rsidRPr="00774820">
        <w:rPr>
          <w:rFonts w:ascii="Arial" w:eastAsia="Times New Roman" w:hAnsi="Arial" w:cs="Arial"/>
          <w:sz w:val="19"/>
          <w:szCs w:val="19"/>
        </w:rPr>
        <w:instrText xml:space="preserve"> HYPERLINK "https://www.ffiec.gov/hmda/poster.htm" </w:instrText>
      </w:r>
      <w:r w:rsidRPr="00774820">
        <w:rPr>
          <w:rFonts w:ascii="Arial" w:eastAsia="Times New Roman" w:hAnsi="Arial" w:cs="Arial"/>
          <w:sz w:val="19"/>
          <w:szCs w:val="19"/>
        </w:rPr>
        <w:fldChar w:fldCharType="separate"/>
      </w:r>
      <w:r w:rsidRPr="00774820">
        <w:rPr>
          <w:rStyle w:val="Hyperlink"/>
          <w:rFonts w:ascii="Arial" w:eastAsia="Times New Roman" w:hAnsi="Arial" w:cs="Arial"/>
          <w:color w:val="auto"/>
          <w:sz w:val="19"/>
          <w:szCs w:val="19"/>
          <w:u w:val="none"/>
        </w:rPr>
        <w:t>HOME MORTGAGE DISCLOSURE ACT NOTICE</w:t>
      </w:r>
    </w:p>
    <w:p w:rsidR="005F1099" w:rsidRPr="00774820" w:rsidRDefault="005F1099" w:rsidP="005F1099">
      <w:pPr>
        <w:shd w:val="clear" w:color="auto" w:fill="FFFFFF"/>
        <w:ind w:left="360"/>
        <w:rPr>
          <w:rStyle w:val="Hyperlink"/>
          <w:rFonts w:ascii="Arial" w:eastAsia="Times New Roman" w:hAnsi="Arial" w:cs="Arial"/>
          <w:color w:val="auto"/>
          <w:sz w:val="19"/>
          <w:szCs w:val="19"/>
          <w:u w:val="none"/>
        </w:rPr>
      </w:pPr>
    </w:p>
    <w:p w:rsidR="005F1099" w:rsidRPr="00774820" w:rsidRDefault="005F1099" w:rsidP="005F1099">
      <w:pPr>
        <w:shd w:val="clear" w:color="auto" w:fill="FFFFFF"/>
        <w:ind w:left="360"/>
        <w:rPr>
          <w:rStyle w:val="Hyperlink"/>
          <w:rFonts w:ascii="Arial" w:eastAsia="Times New Roman" w:hAnsi="Arial" w:cs="Arial"/>
          <w:color w:val="auto"/>
          <w:sz w:val="19"/>
          <w:szCs w:val="19"/>
          <w:u w:val="none"/>
        </w:rPr>
      </w:pPr>
      <w:r w:rsidRPr="00774820">
        <w:rPr>
          <w:rStyle w:val="Hyperlink"/>
          <w:rFonts w:ascii="Arial" w:eastAsia="Times New Roman" w:hAnsi="Arial" w:cs="Arial"/>
          <w:color w:val="auto"/>
          <w:sz w:val="19"/>
          <w:szCs w:val="19"/>
          <w:u w:val="none"/>
        </w:rPr>
        <w:t>The HMDA data about our residential mortgage lending are available for review.  The data show geographic distribution of loans and applications; ethnicity, race, sex, and income of applicants and borrowers; and information about loan approvals and denials.  Inquire at this office regarding the locations where HMDA data may be inspected.  To receive a copy of these data send a written request to:</w:t>
      </w:r>
    </w:p>
    <w:p w:rsidR="005F1099" w:rsidRPr="00774820" w:rsidRDefault="005F1099" w:rsidP="005F1099">
      <w:pPr>
        <w:shd w:val="clear" w:color="auto" w:fill="FFFFFF"/>
        <w:ind w:left="360"/>
        <w:rPr>
          <w:rStyle w:val="Hyperlink"/>
          <w:rFonts w:ascii="Arial" w:eastAsia="Times New Roman" w:hAnsi="Arial" w:cs="Arial"/>
          <w:color w:val="auto"/>
          <w:sz w:val="19"/>
          <w:szCs w:val="19"/>
          <w:u w:val="none"/>
        </w:rPr>
      </w:pPr>
    </w:p>
    <w:p w:rsidR="005F1099" w:rsidRPr="00774820" w:rsidRDefault="005F1099" w:rsidP="005F1099">
      <w:pPr>
        <w:shd w:val="clear" w:color="auto" w:fill="FFFFFF"/>
        <w:ind w:left="720"/>
        <w:rPr>
          <w:rStyle w:val="Hyperlink"/>
          <w:rFonts w:ascii="Arial" w:eastAsia="Times New Roman" w:hAnsi="Arial" w:cs="Arial"/>
          <w:color w:val="auto"/>
          <w:sz w:val="19"/>
          <w:szCs w:val="19"/>
          <w:u w:val="none"/>
        </w:rPr>
      </w:pPr>
      <w:r w:rsidRPr="00774820">
        <w:rPr>
          <w:rStyle w:val="Hyperlink"/>
          <w:rFonts w:ascii="Arial" w:eastAsia="Times New Roman" w:hAnsi="Arial" w:cs="Arial"/>
          <w:color w:val="auto"/>
          <w:sz w:val="19"/>
          <w:szCs w:val="19"/>
          <w:u w:val="none"/>
        </w:rPr>
        <w:t>PointBank</w:t>
      </w:r>
    </w:p>
    <w:p w:rsidR="005F1099" w:rsidRPr="00774820" w:rsidRDefault="005F1099" w:rsidP="005F1099">
      <w:pPr>
        <w:shd w:val="clear" w:color="auto" w:fill="FFFFFF"/>
        <w:ind w:left="720"/>
        <w:rPr>
          <w:rStyle w:val="Hyperlink"/>
          <w:rFonts w:ascii="Arial" w:eastAsia="Times New Roman" w:hAnsi="Arial" w:cs="Arial"/>
          <w:color w:val="auto"/>
          <w:sz w:val="19"/>
          <w:szCs w:val="19"/>
          <w:u w:val="none"/>
        </w:rPr>
      </w:pPr>
      <w:r w:rsidRPr="00774820">
        <w:rPr>
          <w:rStyle w:val="Hyperlink"/>
          <w:rFonts w:ascii="Arial" w:eastAsia="Times New Roman" w:hAnsi="Arial" w:cs="Arial"/>
          <w:color w:val="auto"/>
          <w:sz w:val="19"/>
          <w:szCs w:val="19"/>
          <w:u w:val="none"/>
        </w:rPr>
        <w:t>HMDA Information Request</w:t>
      </w:r>
    </w:p>
    <w:p w:rsidR="005F1099" w:rsidRPr="00774820" w:rsidRDefault="005F1099" w:rsidP="005F1099">
      <w:pPr>
        <w:shd w:val="clear" w:color="auto" w:fill="FFFFFF"/>
        <w:ind w:left="720"/>
        <w:rPr>
          <w:rStyle w:val="Hyperlink"/>
          <w:rFonts w:ascii="Arial" w:eastAsia="Times New Roman" w:hAnsi="Arial" w:cs="Arial"/>
          <w:color w:val="auto"/>
          <w:sz w:val="19"/>
          <w:szCs w:val="19"/>
          <w:u w:val="none"/>
        </w:rPr>
      </w:pPr>
      <w:r w:rsidRPr="00774820">
        <w:rPr>
          <w:rStyle w:val="Hyperlink"/>
          <w:rFonts w:ascii="Arial" w:eastAsia="Times New Roman" w:hAnsi="Arial" w:cs="Arial"/>
          <w:color w:val="auto"/>
          <w:sz w:val="19"/>
          <w:szCs w:val="19"/>
          <w:u w:val="none"/>
        </w:rPr>
        <w:t>P O Box 278</w:t>
      </w:r>
    </w:p>
    <w:p w:rsidR="005F1099" w:rsidRPr="00774820" w:rsidRDefault="005F1099" w:rsidP="005F1099">
      <w:pPr>
        <w:shd w:val="clear" w:color="auto" w:fill="FFFFFF"/>
        <w:ind w:left="720"/>
        <w:rPr>
          <w:rStyle w:val="Hyperlink"/>
          <w:rFonts w:ascii="Arial" w:eastAsia="Times New Roman" w:hAnsi="Arial" w:cs="Arial"/>
          <w:color w:val="auto"/>
          <w:sz w:val="19"/>
          <w:szCs w:val="19"/>
          <w:u w:val="none"/>
        </w:rPr>
      </w:pPr>
      <w:r w:rsidRPr="00774820">
        <w:rPr>
          <w:rStyle w:val="Hyperlink"/>
          <w:rFonts w:ascii="Arial" w:eastAsia="Times New Roman" w:hAnsi="Arial" w:cs="Arial"/>
          <w:color w:val="auto"/>
          <w:sz w:val="19"/>
          <w:szCs w:val="19"/>
          <w:u w:val="none"/>
        </w:rPr>
        <w:t>Pilot Point, TX  76258</w:t>
      </w:r>
    </w:p>
    <w:p w:rsidR="005F1099" w:rsidRDefault="005F1099" w:rsidP="005F1099">
      <w:pPr>
        <w:rPr>
          <w:rFonts w:ascii="Arial" w:eastAsia="Times New Roman" w:hAnsi="Arial" w:cs="Arial"/>
          <w:sz w:val="19"/>
          <w:szCs w:val="19"/>
        </w:rPr>
      </w:pPr>
      <w:r w:rsidRPr="00774820">
        <w:rPr>
          <w:rFonts w:ascii="Arial" w:eastAsia="Times New Roman" w:hAnsi="Arial" w:cs="Arial"/>
          <w:sz w:val="19"/>
          <w:szCs w:val="19"/>
        </w:rPr>
        <w:fldChar w:fldCharType="end"/>
      </w:r>
    </w:p>
    <w:p w:rsidR="005F1099" w:rsidRDefault="005F1099" w:rsidP="005F1099">
      <w:pPr>
        <w:rPr>
          <w:rFonts w:cs="Arial"/>
          <w:color w:val="404040"/>
          <w:szCs w:val="24"/>
          <w:shd w:val="clear" w:color="auto" w:fill="FFFFFF"/>
        </w:rPr>
      </w:pPr>
      <w:r>
        <w:rPr>
          <w:rFonts w:cs="Arial"/>
          <w:color w:val="404040"/>
          <w:szCs w:val="24"/>
          <w:shd w:val="clear" w:color="auto" w:fill="FFFFFF"/>
        </w:rPr>
        <w:t>Because the bank was subject to HMDA reporting until July 1</w:t>
      </w:r>
      <w:r w:rsidRPr="00251738">
        <w:rPr>
          <w:rFonts w:cs="Arial"/>
          <w:color w:val="404040"/>
          <w:szCs w:val="24"/>
          <w:shd w:val="clear" w:color="auto" w:fill="FFFFFF"/>
          <w:vertAlign w:val="superscript"/>
        </w:rPr>
        <w:t>st</w:t>
      </w:r>
      <w:r>
        <w:rPr>
          <w:rFonts w:cs="Arial"/>
          <w:color w:val="404040"/>
          <w:szCs w:val="24"/>
          <w:shd w:val="clear" w:color="auto" w:fill="FFFFFF"/>
        </w:rPr>
        <w:t xml:space="preserve">, 2020, this additional statement is </w:t>
      </w:r>
      <w:r w:rsidR="00620153">
        <w:rPr>
          <w:rFonts w:cs="Arial"/>
          <w:color w:val="404040"/>
          <w:szCs w:val="24"/>
          <w:shd w:val="clear" w:color="auto" w:fill="FFFFFF"/>
        </w:rPr>
        <w:t xml:space="preserve">not required, but </w:t>
      </w:r>
      <w:r>
        <w:rPr>
          <w:rFonts w:cs="Arial"/>
          <w:color w:val="404040"/>
          <w:szCs w:val="24"/>
          <w:shd w:val="clear" w:color="auto" w:fill="FFFFFF"/>
        </w:rPr>
        <w:t>strongly recommended:</w:t>
      </w:r>
    </w:p>
    <w:p w:rsidR="005F1099" w:rsidRDefault="005F1099" w:rsidP="005F1099">
      <w:pPr>
        <w:rPr>
          <w:rFonts w:cs="Arial"/>
          <w:color w:val="404040"/>
          <w:szCs w:val="24"/>
          <w:shd w:val="clear" w:color="auto" w:fill="FFFFFF"/>
        </w:rPr>
      </w:pPr>
    </w:p>
    <w:p w:rsidR="005F1099" w:rsidRPr="006C4A1D" w:rsidRDefault="005F1099" w:rsidP="005F1099">
      <w:pPr>
        <w:ind w:left="360"/>
        <w:rPr>
          <w:rFonts w:ascii="Times New Roman" w:hAnsi="Times New Roman" w:cs="Times New Roman"/>
          <w:color w:val="404040"/>
          <w:szCs w:val="24"/>
          <w:shd w:val="clear" w:color="auto" w:fill="FFFFFF"/>
        </w:rPr>
      </w:pPr>
      <w:r w:rsidRPr="006C4A1D">
        <w:rPr>
          <w:rFonts w:ascii="Times New Roman" w:hAnsi="Times New Roman" w:cs="Times New Roman"/>
          <w:color w:val="404040"/>
          <w:szCs w:val="24"/>
          <w:shd w:val="clear" w:color="auto" w:fill="FFFFFF"/>
        </w:rPr>
        <w:t>Due to the CFPB raising originated loan thresholds</w:t>
      </w:r>
      <w:r w:rsidR="007F1B6B">
        <w:rPr>
          <w:rFonts w:ascii="Times New Roman" w:hAnsi="Times New Roman" w:cs="Times New Roman"/>
          <w:color w:val="404040"/>
          <w:szCs w:val="24"/>
          <w:shd w:val="clear" w:color="auto" w:fill="FFFFFF"/>
        </w:rPr>
        <w:t xml:space="preserve"> for reporting purposes</w:t>
      </w:r>
      <w:r w:rsidRPr="006C4A1D">
        <w:rPr>
          <w:rFonts w:ascii="Times New Roman" w:hAnsi="Times New Roman" w:cs="Times New Roman"/>
          <w:color w:val="404040"/>
          <w:szCs w:val="24"/>
          <w:shd w:val="clear" w:color="auto" w:fill="FFFFFF"/>
        </w:rPr>
        <w:t>, PointBank is no longer a HMDA reportable financial institution as of July 1, 2020.  PointBank’s last reportable year was 2019.</w:t>
      </w:r>
    </w:p>
    <w:p w:rsidR="005F1099" w:rsidRDefault="005F1099" w:rsidP="005F1099">
      <w:pPr>
        <w:ind w:left="360"/>
        <w:rPr>
          <w:rFonts w:cs="Arial"/>
          <w:color w:val="404040"/>
          <w:szCs w:val="24"/>
          <w:shd w:val="clear" w:color="auto" w:fill="FFFFFF"/>
        </w:rPr>
      </w:pPr>
    </w:p>
    <w:p w:rsidR="005F1099" w:rsidRDefault="005F1099" w:rsidP="005F1099">
      <w:pPr>
        <w:rPr>
          <w:rFonts w:cs="Arial"/>
          <w:color w:val="404040"/>
          <w:szCs w:val="24"/>
          <w:shd w:val="clear" w:color="auto" w:fill="FFFFFF"/>
        </w:rPr>
      </w:pPr>
      <w:r>
        <w:rPr>
          <w:rFonts w:cs="Arial"/>
          <w:color w:val="404040"/>
          <w:szCs w:val="24"/>
          <w:shd w:val="clear" w:color="auto" w:fill="FFFFFF"/>
        </w:rPr>
        <w:t>The recommendation is to include all three (3) statements.</w:t>
      </w:r>
    </w:p>
    <w:p w:rsidR="005F1099" w:rsidRDefault="005F1099" w:rsidP="005F1099">
      <w:pPr>
        <w:rPr>
          <w:rFonts w:cs="Arial"/>
          <w:color w:val="404040"/>
          <w:szCs w:val="24"/>
          <w:shd w:val="clear" w:color="auto" w:fill="FFFFFF"/>
        </w:rPr>
      </w:pPr>
    </w:p>
    <w:p w:rsidR="005F1099" w:rsidRDefault="005F1099" w:rsidP="005F1099">
      <w:pPr>
        <w:rPr>
          <w:rFonts w:ascii="Arial" w:hAnsi="Arial" w:cs="Arial"/>
          <w:color w:val="404040"/>
          <w:sz w:val="20"/>
          <w:szCs w:val="20"/>
        </w:rPr>
      </w:pPr>
    </w:p>
    <w:p w:rsidR="005F1099" w:rsidRDefault="005F1099" w:rsidP="005F1099">
      <w:pPr>
        <w:rPr>
          <w:rFonts w:ascii="Arial" w:hAnsi="Arial" w:cs="Arial"/>
          <w:color w:val="404040"/>
          <w:sz w:val="20"/>
          <w:szCs w:val="20"/>
        </w:rPr>
      </w:pPr>
    </w:p>
    <w:p w:rsidR="005F1099" w:rsidRDefault="005F1099" w:rsidP="005F1099">
      <w:pPr>
        <w:rPr>
          <w:rFonts w:ascii="Arial" w:hAnsi="Arial" w:cs="Arial"/>
          <w:color w:val="404040"/>
          <w:sz w:val="20"/>
          <w:szCs w:val="20"/>
        </w:rPr>
      </w:pPr>
    </w:p>
    <w:p w:rsidR="005F1099" w:rsidRDefault="005F1099" w:rsidP="005F1099">
      <w:pPr>
        <w:rPr>
          <w:rFonts w:ascii="Arial" w:hAnsi="Arial" w:cs="Arial"/>
          <w:color w:val="404040"/>
          <w:sz w:val="20"/>
          <w:szCs w:val="20"/>
        </w:rPr>
      </w:pPr>
    </w:p>
    <w:p w:rsidR="005F1099" w:rsidRDefault="005F1099" w:rsidP="005F1099">
      <w:pPr>
        <w:rPr>
          <w:rFonts w:ascii="Arial" w:hAnsi="Arial" w:cs="Arial"/>
          <w:color w:val="404040"/>
          <w:sz w:val="20"/>
          <w:szCs w:val="20"/>
        </w:rPr>
      </w:pPr>
    </w:p>
    <w:p w:rsidR="005F1099" w:rsidRDefault="005F1099" w:rsidP="005F1099">
      <w:pPr>
        <w:rPr>
          <w:rFonts w:ascii="Arial" w:hAnsi="Arial" w:cs="Arial"/>
          <w:color w:val="404040"/>
          <w:sz w:val="20"/>
          <w:szCs w:val="20"/>
        </w:rPr>
      </w:pPr>
    </w:p>
    <w:p w:rsidR="005F1099" w:rsidRDefault="005F1099" w:rsidP="005F1099">
      <w:pPr>
        <w:rPr>
          <w:rFonts w:ascii="Arial" w:hAnsi="Arial" w:cs="Arial"/>
          <w:color w:val="404040"/>
          <w:sz w:val="20"/>
          <w:szCs w:val="20"/>
        </w:rPr>
      </w:pPr>
    </w:p>
    <w:p w:rsidR="005F1099" w:rsidRDefault="005F1099" w:rsidP="005F1099">
      <w:pPr>
        <w:rPr>
          <w:rFonts w:ascii="Arial" w:hAnsi="Arial" w:cs="Arial"/>
          <w:color w:val="404040"/>
          <w:sz w:val="20"/>
          <w:szCs w:val="20"/>
        </w:rPr>
      </w:pPr>
    </w:p>
    <w:p w:rsidR="005F1099" w:rsidRDefault="005F1099" w:rsidP="005F1099">
      <w:pPr>
        <w:rPr>
          <w:rFonts w:ascii="Arial" w:hAnsi="Arial" w:cs="Arial"/>
          <w:color w:val="404040"/>
          <w:sz w:val="20"/>
          <w:szCs w:val="20"/>
        </w:rPr>
      </w:pPr>
    </w:p>
    <w:p w:rsidR="005F1099" w:rsidRDefault="005F1099" w:rsidP="005F1099">
      <w:pPr>
        <w:rPr>
          <w:rFonts w:ascii="Arial" w:hAnsi="Arial" w:cs="Arial"/>
          <w:color w:val="404040"/>
          <w:sz w:val="20"/>
          <w:szCs w:val="20"/>
        </w:rPr>
      </w:pPr>
    </w:p>
    <w:p w:rsidR="005F1099" w:rsidRDefault="005F1099" w:rsidP="005F1099">
      <w:pPr>
        <w:rPr>
          <w:rFonts w:ascii="Arial" w:hAnsi="Arial" w:cs="Arial"/>
          <w:color w:val="404040"/>
          <w:sz w:val="20"/>
          <w:szCs w:val="20"/>
        </w:rPr>
      </w:pPr>
    </w:p>
    <w:p w:rsidR="00BF4A76" w:rsidRPr="00AF4FD8" w:rsidRDefault="00AF4FD8" w:rsidP="00AF4FD8">
      <w:pPr>
        <w:rPr>
          <w:b/>
          <w:sz w:val="32"/>
        </w:rPr>
      </w:pPr>
      <w:r>
        <w:rPr>
          <w:noProof/>
        </w:rPr>
        <w:lastRenderedPageBreak/>
        <w:drawing>
          <wp:inline distT="0" distB="0" distL="0" distR="0">
            <wp:extent cx="433117" cy="288744"/>
            <wp:effectExtent l="0" t="0" r="5080" b="0"/>
            <wp:docPr id="5" name="Picture 5" descr="https://upload.wikimedia.org/wikipedia/commons/thumb/f/f7/Flag_of_Texas.svg/1200px-Flag_of_Texa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f/f7/Flag_of_Texas.svg/1200px-Flag_of_Texas.svg.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3205" cy="302136"/>
                    </a:xfrm>
                    <a:prstGeom prst="rect">
                      <a:avLst/>
                    </a:prstGeom>
                    <a:noFill/>
                    <a:ln>
                      <a:noFill/>
                    </a:ln>
                  </pic:spPr>
                </pic:pic>
              </a:graphicData>
            </a:graphic>
          </wp:inline>
        </w:drawing>
      </w:r>
      <w:r>
        <w:rPr>
          <w:b/>
          <w:sz w:val="32"/>
        </w:rPr>
        <w:t xml:space="preserve">  </w:t>
      </w:r>
      <w:r w:rsidR="00BF4A76" w:rsidRPr="00AF4FD8">
        <w:rPr>
          <w:b/>
          <w:sz w:val="32"/>
        </w:rPr>
        <w:t>State Notices/Disclosures:</w:t>
      </w:r>
    </w:p>
    <w:p w:rsidR="00BF4A76" w:rsidRDefault="00BF4A76" w:rsidP="00BF4A76">
      <w:pPr>
        <w:rPr>
          <w:b/>
        </w:rPr>
      </w:pPr>
    </w:p>
    <w:p w:rsidR="00BF4A76" w:rsidRDefault="00BF4A76" w:rsidP="00BF4A76">
      <w:pPr>
        <w:rPr>
          <w:szCs w:val="24"/>
        </w:rPr>
      </w:pPr>
      <w:r w:rsidRPr="000A0E61">
        <w:rPr>
          <w:b/>
          <w:szCs w:val="24"/>
        </w:rPr>
        <w:t>Call Report</w:t>
      </w:r>
      <w:r w:rsidR="000A0E61" w:rsidRPr="0036776E">
        <w:rPr>
          <w:b/>
          <w:szCs w:val="24"/>
        </w:rPr>
        <w:t xml:space="preserve"> (a report of condition and income)</w:t>
      </w:r>
      <w:r w:rsidR="000A0E61" w:rsidRPr="000A0E61">
        <w:rPr>
          <w:b/>
          <w:szCs w:val="24"/>
        </w:rPr>
        <w:t>:</w:t>
      </w:r>
      <w:r w:rsidR="008F7715">
        <w:rPr>
          <w:szCs w:val="24"/>
        </w:rPr>
        <w:t xml:space="preserve"> </w:t>
      </w:r>
      <w:r w:rsidR="000A0E61">
        <w:rPr>
          <w:szCs w:val="24"/>
        </w:rPr>
        <w:t xml:space="preserve"> Per Texas state statute </w:t>
      </w:r>
      <w:hyperlink r:id="rId22" w:history="1">
        <w:r w:rsidR="008F7715" w:rsidRPr="008F7715">
          <w:rPr>
            <w:rStyle w:val="Hyperlink"/>
            <w:szCs w:val="24"/>
          </w:rPr>
          <w:t>7 TAC 3.21</w:t>
        </w:r>
      </w:hyperlink>
      <w:r w:rsidR="000A0E61">
        <w:rPr>
          <w:szCs w:val="24"/>
        </w:rPr>
        <w:t>, t</w:t>
      </w:r>
      <w:r w:rsidR="000A0E61" w:rsidRPr="000A0E61">
        <w:rPr>
          <w:szCs w:val="24"/>
        </w:rPr>
        <w:t xml:space="preserve">he </w:t>
      </w:r>
      <w:r w:rsidR="000A0E61" w:rsidRPr="000A0E61">
        <w:rPr>
          <w:i/>
          <w:szCs w:val="24"/>
        </w:rPr>
        <w:t>latest</w:t>
      </w:r>
      <w:r w:rsidR="000A0E61" w:rsidRPr="000A0E61">
        <w:rPr>
          <w:szCs w:val="24"/>
        </w:rPr>
        <w:t xml:space="preserve"> call report filed with the banking commissioner </w:t>
      </w:r>
      <w:r w:rsidR="000A0E61" w:rsidRPr="000A0E61">
        <w:rPr>
          <w:i/>
          <w:szCs w:val="24"/>
        </w:rPr>
        <w:t>must</w:t>
      </w:r>
      <w:r w:rsidR="000A0E61" w:rsidRPr="000A0E61">
        <w:rPr>
          <w:szCs w:val="24"/>
        </w:rPr>
        <w:t xml:space="preserve"> be </w:t>
      </w:r>
      <w:r w:rsidR="000A0E61" w:rsidRPr="00CF0324">
        <w:rPr>
          <w:b/>
          <w:szCs w:val="24"/>
          <w:highlight w:val="green"/>
        </w:rPr>
        <w:t xml:space="preserve">posted in </w:t>
      </w:r>
      <w:r w:rsidR="000A0E61" w:rsidRPr="000A0E61">
        <w:rPr>
          <w:b/>
          <w:szCs w:val="24"/>
          <w:highlight w:val="green"/>
        </w:rPr>
        <w:t>the lobby</w:t>
      </w:r>
      <w:r w:rsidR="000A0E61" w:rsidRPr="000A0E61">
        <w:rPr>
          <w:szCs w:val="24"/>
        </w:rPr>
        <w:t xml:space="preserve"> of the state bank </w:t>
      </w:r>
      <w:r w:rsidR="000A0E61" w:rsidRPr="000A0E61">
        <w:rPr>
          <w:b/>
          <w:szCs w:val="24"/>
          <w:highlight w:val="green"/>
        </w:rPr>
        <w:t>at a point accessible to the public</w:t>
      </w:r>
      <w:r w:rsidR="000A0E61" w:rsidRPr="000A0E61">
        <w:rPr>
          <w:szCs w:val="24"/>
        </w:rPr>
        <w:t>.</w:t>
      </w:r>
      <w:r w:rsidR="000A0E61">
        <w:rPr>
          <w:szCs w:val="24"/>
        </w:rPr>
        <w:t xml:space="preserve">  </w:t>
      </w:r>
      <w:r w:rsidR="000A0E61" w:rsidRPr="000A0E61">
        <w:rPr>
          <w:szCs w:val="24"/>
        </w:rPr>
        <w:t xml:space="preserve">Each state bank shall file four call reports annually with the banking commissioner. </w:t>
      </w:r>
      <w:r w:rsidR="0036776E">
        <w:t xml:space="preserve"> </w:t>
      </w:r>
      <w:r w:rsidR="000A0E61" w:rsidRPr="000A0E61">
        <w:rPr>
          <w:szCs w:val="24"/>
        </w:rPr>
        <w:t xml:space="preserve">Such call reports must be filed no later than April 30, July 31, and October 31 of each year and by January 31 of the subsequent year, and shall be for the periods ending March 31, June 30, September 30, and December 31, respectively, of the annual reporting year. </w:t>
      </w:r>
      <w:r w:rsidR="0036776E">
        <w:rPr>
          <w:szCs w:val="24"/>
        </w:rPr>
        <w:t xml:space="preserve"> </w:t>
      </w:r>
      <w:r w:rsidR="000A0E61" w:rsidRPr="000A0E61">
        <w:rPr>
          <w:szCs w:val="24"/>
        </w:rPr>
        <w:t>The call reports required must be in substantially the same form and contain substantially the same information as call reports filed FFIEC requirements.</w:t>
      </w:r>
    </w:p>
    <w:p w:rsidR="008F7715" w:rsidRDefault="008F7715"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D74AF2" w:rsidRDefault="00D74AF2" w:rsidP="00BF4A76">
      <w:pPr>
        <w:rPr>
          <w:szCs w:val="24"/>
        </w:rPr>
      </w:pPr>
    </w:p>
    <w:p w:rsidR="008F7715" w:rsidRDefault="0036776E" w:rsidP="00BF4A76">
      <w:pPr>
        <w:rPr>
          <w:szCs w:val="24"/>
        </w:rPr>
      </w:pPr>
      <w:r w:rsidRPr="0036776E">
        <w:rPr>
          <w:b/>
        </w:rPr>
        <w:lastRenderedPageBreak/>
        <w:t>Certain Loan Agreements To Be in Writing</w:t>
      </w:r>
      <w:r w:rsidR="008F7715" w:rsidRPr="0036776E">
        <w:rPr>
          <w:b/>
          <w:szCs w:val="24"/>
        </w:rPr>
        <w:t xml:space="preserve"> (</w:t>
      </w:r>
      <w:r w:rsidRPr="0036776E">
        <w:rPr>
          <w:b/>
          <w:szCs w:val="24"/>
        </w:rPr>
        <w:t xml:space="preserve">AKA No </w:t>
      </w:r>
      <w:r w:rsidR="00FA311A">
        <w:rPr>
          <w:b/>
          <w:szCs w:val="24"/>
        </w:rPr>
        <w:t xml:space="preserve">Unwritten </w:t>
      </w:r>
      <w:r w:rsidRPr="0036776E">
        <w:rPr>
          <w:b/>
          <w:szCs w:val="24"/>
        </w:rPr>
        <w:t>Oral Agreements) Notice:</w:t>
      </w:r>
      <w:r>
        <w:rPr>
          <w:szCs w:val="24"/>
        </w:rPr>
        <w:t xml:space="preserve">  Per Texas state statute </w:t>
      </w:r>
      <w:hyperlink r:id="rId23" w:history="1">
        <w:r w:rsidR="008F7715" w:rsidRPr="008F7715">
          <w:rPr>
            <w:rStyle w:val="Hyperlink"/>
            <w:szCs w:val="24"/>
          </w:rPr>
          <w:t>7 TAC 3.34</w:t>
        </w:r>
      </w:hyperlink>
      <w:r>
        <w:rPr>
          <w:szCs w:val="24"/>
        </w:rPr>
        <w:t>, “</w:t>
      </w:r>
      <w:r w:rsidR="00063874">
        <w:rPr>
          <w:szCs w:val="24"/>
        </w:rPr>
        <w:t>[p]</w:t>
      </w:r>
      <w:r w:rsidRPr="0036776E">
        <w:rPr>
          <w:szCs w:val="24"/>
        </w:rPr>
        <w:t xml:space="preserve">ursuant to the </w:t>
      </w:r>
      <w:hyperlink r:id="rId24" w:anchor="26.02" w:history="1">
        <w:r w:rsidRPr="0020792F">
          <w:rPr>
            <w:rStyle w:val="Hyperlink"/>
            <w:szCs w:val="24"/>
          </w:rPr>
          <w:t>Business and Commerce Code, §26.02</w:t>
        </w:r>
      </w:hyperlink>
      <w:r w:rsidRPr="0036776E">
        <w:rPr>
          <w:szCs w:val="24"/>
        </w:rPr>
        <w:t xml:space="preserve">, all financial institutions </w:t>
      </w:r>
      <w:r w:rsidRPr="0075179C">
        <w:rPr>
          <w:szCs w:val="24"/>
        </w:rPr>
        <w:t xml:space="preserve">must </w:t>
      </w:r>
      <w:r w:rsidRPr="0075179C">
        <w:rPr>
          <w:i/>
          <w:szCs w:val="24"/>
        </w:rPr>
        <w:t>conspicuously</w:t>
      </w:r>
      <w:r w:rsidRPr="0075179C">
        <w:rPr>
          <w:szCs w:val="24"/>
        </w:rPr>
        <w:t xml:space="preserve"> post notices</w:t>
      </w:r>
      <w:r w:rsidRPr="0036776E">
        <w:rPr>
          <w:szCs w:val="24"/>
        </w:rPr>
        <w:t xml:space="preserve"> informing borrowers of the requirements that certain loan agreements be in writing.</w:t>
      </w:r>
      <w:r w:rsidR="0075179C">
        <w:rPr>
          <w:szCs w:val="24"/>
        </w:rPr>
        <w:t xml:space="preserve">  </w:t>
      </w:r>
      <w:r w:rsidR="0075179C" w:rsidRPr="0075179C">
        <w:rPr>
          <w:szCs w:val="24"/>
        </w:rPr>
        <w:t xml:space="preserve">Each financial institution shall </w:t>
      </w:r>
      <w:r w:rsidR="0075179C" w:rsidRPr="00CF0324">
        <w:rPr>
          <w:b/>
          <w:szCs w:val="24"/>
          <w:highlight w:val="green"/>
        </w:rPr>
        <w:t>post</w:t>
      </w:r>
      <w:r w:rsidR="0075179C" w:rsidRPr="00CF0324">
        <w:rPr>
          <w:szCs w:val="24"/>
          <w:highlight w:val="green"/>
        </w:rPr>
        <w:t xml:space="preserve"> </w:t>
      </w:r>
      <w:r w:rsidR="0075179C" w:rsidRPr="00CF0324">
        <w:rPr>
          <w:b/>
          <w:szCs w:val="24"/>
          <w:highlight w:val="green"/>
        </w:rPr>
        <w:t xml:space="preserve">in </w:t>
      </w:r>
      <w:r w:rsidR="0075179C" w:rsidRPr="0075179C">
        <w:rPr>
          <w:b/>
          <w:szCs w:val="24"/>
          <w:highlight w:val="green"/>
        </w:rPr>
        <w:t>the public lobby of each of its offices</w:t>
      </w:r>
      <w:r w:rsidR="0075179C" w:rsidRPr="0075179C">
        <w:rPr>
          <w:szCs w:val="24"/>
        </w:rPr>
        <w:t xml:space="preserve"> the </w:t>
      </w:r>
      <w:r w:rsidR="0020792F">
        <w:rPr>
          <w:szCs w:val="24"/>
        </w:rPr>
        <w:t xml:space="preserve">[following] </w:t>
      </w:r>
      <w:r w:rsidR="0075179C" w:rsidRPr="0075179C">
        <w:rPr>
          <w:szCs w:val="24"/>
        </w:rPr>
        <w:t>public notice</w:t>
      </w:r>
      <w:r w:rsidR="0020792F">
        <w:rPr>
          <w:szCs w:val="24"/>
        </w:rPr>
        <w:t>:</w:t>
      </w:r>
      <w:r>
        <w:rPr>
          <w:szCs w:val="24"/>
        </w:rPr>
        <w:t>”</w:t>
      </w:r>
    </w:p>
    <w:p w:rsidR="009877AD" w:rsidRDefault="009877AD" w:rsidP="00BF4A76">
      <w:pPr>
        <w:rPr>
          <w:szCs w:val="24"/>
        </w:rPr>
      </w:pPr>
    </w:p>
    <w:p w:rsidR="0020792F" w:rsidRDefault="0020792F" w:rsidP="00BF4A76">
      <w:pPr>
        <w:rPr>
          <w:szCs w:val="24"/>
        </w:rPr>
      </w:pPr>
    </w:p>
    <w:p w:rsidR="002E6734" w:rsidRDefault="002E6734" w:rsidP="002E6734">
      <w:pPr>
        <w:ind w:left="360"/>
        <w:jc w:val="center"/>
        <w:rPr>
          <w:szCs w:val="24"/>
        </w:rPr>
      </w:pPr>
      <w:r>
        <w:rPr>
          <w:noProof/>
        </w:rPr>
        <w:drawing>
          <wp:inline distT="0" distB="0" distL="0" distR="0">
            <wp:extent cx="908050" cy="900483"/>
            <wp:effectExtent l="0" t="0" r="6350" b="0"/>
            <wp:docPr id="2" name="Picture 2" descr="https://tse4.mm.bing.net/th?id=OIP.yTOcXCuZbGb55dJKTNZoIAHaHX&amp;pid=Api&amp;P=0&amp;w=160&amp;h=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4.mm.bing.net/th?id=OIP.yTOcXCuZbGb55dJKTNZoIAHaHX&amp;pid=Api&amp;P=0&amp;w=160&amp;h=1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2830" cy="925056"/>
                    </a:xfrm>
                    <a:prstGeom prst="rect">
                      <a:avLst/>
                    </a:prstGeom>
                    <a:noFill/>
                    <a:ln>
                      <a:noFill/>
                    </a:ln>
                  </pic:spPr>
                </pic:pic>
              </a:graphicData>
            </a:graphic>
          </wp:inline>
        </w:drawing>
      </w:r>
    </w:p>
    <w:p w:rsidR="002E6734" w:rsidRDefault="002E6734" w:rsidP="002E6734">
      <w:pPr>
        <w:ind w:left="360"/>
        <w:rPr>
          <w:szCs w:val="24"/>
        </w:rPr>
      </w:pPr>
    </w:p>
    <w:p w:rsidR="002E6734" w:rsidRPr="009F76B3" w:rsidRDefault="002E6734" w:rsidP="009F76B3">
      <w:pPr>
        <w:ind w:left="360"/>
        <w:jc w:val="center"/>
        <w:rPr>
          <w:rFonts w:ascii="Arial" w:hAnsi="Arial" w:cs="Arial"/>
          <w:b/>
          <w:sz w:val="32"/>
        </w:rPr>
      </w:pPr>
      <w:r w:rsidRPr="009F76B3">
        <w:rPr>
          <w:rFonts w:ascii="Arial" w:hAnsi="Arial" w:cs="Arial"/>
          <w:b/>
          <w:sz w:val="32"/>
        </w:rPr>
        <w:t>NOTICE TO BORROWERS</w:t>
      </w:r>
    </w:p>
    <w:p w:rsidR="002E6734" w:rsidRPr="009F76B3" w:rsidRDefault="002E6734" w:rsidP="009F76B3">
      <w:pPr>
        <w:ind w:left="360"/>
        <w:jc w:val="center"/>
        <w:rPr>
          <w:rFonts w:ascii="Arial" w:hAnsi="Arial" w:cs="Arial"/>
          <w:b/>
          <w:sz w:val="32"/>
        </w:rPr>
      </w:pPr>
      <w:r w:rsidRPr="009F76B3">
        <w:rPr>
          <w:rFonts w:ascii="Arial" w:hAnsi="Arial" w:cs="Arial"/>
          <w:b/>
          <w:sz w:val="32"/>
        </w:rPr>
        <w:t>CERTAIN LOAN AGREEMENTS</w:t>
      </w:r>
    </w:p>
    <w:p w:rsidR="002E6734" w:rsidRPr="009F76B3" w:rsidRDefault="002E6734" w:rsidP="009F76B3">
      <w:pPr>
        <w:ind w:left="360"/>
        <w:jc w:val="center"/>
        <w:rPr>
          <w:rFonts w:ascii="Arial" w:hAnsi="Arial" w:cs="Arial"/>
          <w:b/>
          <w:sz w:val="32"/>
        </w:rPr>
      </w:pPr>
      <w:r w:rsidRPr="009F76B3">
        <w:rPr>
          <w:rFonts w:ascii="Arial" w:hAnsi="Arial" w:cs="Arial"/>
          <w:b/>
          <w:sz w:val="32"/>
        </w:rPr>
        <w:t>MUST BE IN WRITING</w:t>
      </w:r>
    </w:p>
    <w:p w:rsidR="009F76B3" w:rsidRPr="009F76B3" w:rsidRDefault="009F76B3" w:rsidP="002E6734">
      <w:pPr>
        <w:ind w:left="360"/>
        <w:rPr>
          <w:rFonts w:ascii="Arial" w:hAnsi="Arial" w:cs="Arial"/>
        </w:rPr>
      </w:pPr>
    </w:p>
    <w:p w:rsidR="009F76B3" w:rsidRDefault="00C41CF4" w:rsidP="009F76B3">
      <w:pPr>
        <w:ind w:left="360"/>
        <w:jc w:val="both"/>
        <w:rPr>
          <w:rFonts w:ascii="Arial" w:hAnsi="Arial" w:cs="Arial"/>
        </w:rPr>
      </w:pPr>
      <w:r w:rsidRPr="009F76B3">
        <w:rPr>
          <w:rFonts w:ascii="Arial" w:hAnsi="Arial" w:cs="Arial"/>
        </w:rPr>
        <w:t>TEXAS LAW</w:t>
      </w:r>
      <w:r w:rsidR="002E6734" w:rsidRPr="009F76B3">
        <w:rPr>
          <w:rFonts w:ascii="Arial" w:hAnsi="Arial" w:cs="Arial"/>
        </w:rPr>
        <w:t xml:space="preserve"> </w:t>
      </w:r>
      <w:r w:rsidRPr="009F76B3">
        <w:rPr>
          <w:rFonts w:ascii="Arial" w:hAnsi="Arial" w:cs="Arial"/>
        </w:rPr>
        <w:t>(</w:t>
      </w:r>
      <w:hyperlink r:id="rId26" w:anchor="26.02" w:history="1">
        <w:r w:rsidRPr="009F76B3">
          <w:rPr>
            <w:rStyle w:val="Hyperlink"/>
            <w:rFonts w:ascii="Arial" w:hAnsi="Arial" w:cs="Arial"/>
            <w:color w:val="auto"/>
            <w:u w:val="none"/>
          </w:rPr>
          <w:t>Section 26.02, Business and Commerce Code</w:t>
        </w:r>
      </w:hyperlink>
      <w:r w:rsidRPr="009F76B3">
        <w:rPr>
          <w:rFonts w:ascii="Arial" w:hAnsi="Arial" w:cs="Arial"/>
        </w:rPr>
        <w:t xml:space="preserve">) requires that all financial institutions conspicuously post notices summarizing requirements that loan agreements be in writing. </w:t>
      </w:r>
      <w:r w:rsidR="009F76B3">
        <w:rPr>
          <w:rFonts w:ascii="Arial" w:hAnsi="Arial" w:cs="Arial"/>
        </w:rPr>
        <w:t xml:space="preserve"> </w:t>
      </w:r>
      <w:r w:rsidRPr="009F76B3">
        <w:rPr>
          <w:rFonts w:ascii="Arial" w:hAnsi="Arial" w:cs="Arial"/>
        </w:rPr>
        <w:t>You should know that:</w:t>
      </w:r>
    </w:p>
    <w:p w:rsidR="009F76B3" w:rsidRDefault="009F76B3" w:rsidP="009F76B3">
      <w:pPr>
        <w:ind w:left="360"/>
        <w:jc w:val="both"/>
        <w:rPr>
          <w:rFonts w:ascii="Arial" w:hAnsi="Arial" w:cs="Arial"/>
        </w:rPr>
      </w:pPr>
    </w:p>
    <w:p w:rsidR="009F76B3" w:rsidRDefault="00C41CF4" w:rsidP="009F76B3">
      <w:pPr>
        <w:pStyle w:val="ListParagraph"/>
        <w:numPr>
          <w:ilvl w:val="0"/>
          <w:numId w:val="4"/>
        </w:numPr>
        <w:jc w:val="both"/>
        <w:rPr>
          <w:rFonts w:ascii="Arial" w:hAnsi="Arial" w:cs="Arial"/>
        </w:rPr>
      </w:pPr>
      <w:r w:rsidRPr="009F76B3">
        <w:rPr>
          <w:rFonts w:ascii="Arial" w:hAnsi="Arial" w:cs="Arial"/>
        </w:rPr>
        <w:t>An agreement, promise, or commitment to loan more than $50,000 MUST BE IN WRITING AND SIGNED BY THE LEND</w:t>
      </w:r>
      <w:r w:rsidR="009F76B3" w:rsidRPr="009F76B3">
        <w:rPr>
          <w:rFonts w:ascii="Arial" w:hAnsi="Arial" w:cs="Arial"/>
        </w:rPr>
        <w:t>ER OR IT WILL BE UNENFORCEABLE.</w:t>
      </w:r>
    </w:p>
    <w:p w:rsidR="009F76B3" w:rsidRPr="009F76B3" w:rsidRDefault="009F76B3" w:rsidP="009F76B3">
      <w:pPr>
        <w:pStyle w:val="ListParagraph"/>
        <w:ind w:left="1080"/>
        <w:jc w:val="both"/>
        <w:rPr>
          <w:rFonts w:ascii="Arial" w:hAnsi="Arial" w:cs="Arial"/>
        </w:rPr>
      </w:pPr>
    </w:p>
    <w:p w:rsidR="009F76B3" w:rsidRDefault="00C41CF4" w:rsidP="009F76B3">
      <w:pPr>
        <w:pStyle w:val="ListParagraph"/>
        <w:numPr>
          <w:ilvl w:val="0"/>
          <w:numId w:val="4"/>
        </w:numPr>
        <w:jc w:val="both"/>
        <w:rPr>
          <w:rFonts w:ascii="Arial" w:hAnsi="Arial" w:cs="Arial"/>
        </w:rPr>
      </w:pPr>
      <w:r w:rsidRPr="009F76B3">
        <w:rPr>
          <w:rFonts w:ascii="Arial" w:hAnsi="Arial" w:cs="Arial"/>
        </w:rPr>
        <w:t>The written loan agreement will be the ONLY source of rights and obligations for agreements to lend more t</w:t>
      </w:r>
      <w:r w:rsidR="009F76B3" w:rsidRPr="009F76B3">
        <w:rPr>
          <w:rFonts w:ascii="Arial" w:hAnsi="Arial" w:cs="Arial"/>
        </w:rPr>
        <w:t>han $50,000.</w:t>
      </w:r>
    </w:p>
    <w:p w:rsidR="009F76B3" w:rsidRPr="009F76B3" w:rsidRDefault="009F76B3" w:rsidP="009F76B3">
      <w:pPr>
        <w:pStyle w:val="ListParagraph"/>
        <w:rPr>
          <w:rFonts w:ascii="Arial" w:hAnsi="Arial" w:cs="Arial"/>
        </w:rPr>
      </w:pPr>
    </w:p>
    <w:p w:rsidR="009F76B3" w:rsidRPr="009F76B3" w:rsidRDefault="00C41CF4" w:rsidP="009F76B3">
      <w:pPr>
        <w:pStyle w:val="ListParagraph"/>
        <w:numPr>
          <w:ilvl w:val="0"/>
          <w:numId w:val="4"/>
        </w:numPr>
        <w:jc w:val="both"/>
        <w:rPr>
          <w:rFonts w:ascii="Arial" w:hAnsi="Arial" w:cs="Arial"/>
        </w:rPr>
      </w:pPr>
      <w:r w:rsidRPr="009F76B3">
        <w:rPr>
          <w:rFonts w:ascii="Arial" w:hAnsi="Arial" w:cs="Arial"/>
        </w:rPr>
        <w:t>Oral agreements relating to loans over $50,000 are NOT EFFECTIVE either to establish a commitment to lend or to vary the ter</w:t>
      </w:r>
      <w:r w:rsidR="009F76B3" w:rsidRPr="009F76B3">
        <w:rPr>
          <w:rFonts w:ascii="Arial" w:hAnsi="Arial" w:cs="Arial"/>
        </w:rPr>
        <w:t>ms of a written loan agreement.</w:t>
      </w:r>
    </w:p>
    <w:p w:rsidR="009F76B3" w:rsidRDefault="009F76B3" w:rsidP="009F76B3">
      <w:pPr>
        <w:ind w:left="360"/>
        <w:jc w:val="both"/>
        <w:rPr>
          <w:rFonts w:ascii="Arial" w:hAnsi="Arial" w:cs="Arial"/>
        </w:rPr>
      </w:pPr>
    </w:p>
    <w:p w:rsidR="009F76B3" w:rsidRDefault="00C41CF4" w:rsidP="009F76B3">
      <w:pPr>
        <w:ind w:left="360"/>
        <w:jc w:val="both"/>
        <w:rPr>
          <w:rFonts w:ascii="Arial" w:hAnsi="Arial" w:cs="Arial"/>
        </w:rPr>
      </w:pPr>
      <w:r w:rsidRPr="009F76B3">
        <w:rPr>
          <w:rFonts w:ascii="Arial" w:hAnsi="Arial" w:cs="Arial"/>
        </w:rPr>
        <w:t>As part of the documentation required for loans over $50,000, BORROWERS MUST BE PROVIDED AND MUST SIGN A NOT</w:t>
      </w:r>
      <w:r w:rsidR="009F76B3">
        <w:rPr>
          <w:rFonts w:ascii="Arial" w:hAnsi="Arial" w:cs="Arial"/>
        </w:rPr>
        <w:t>ICE conspicuously stating that:</w:t>
      </w:r>
    </w:p>
    <w:p w:rsidR="009F76B3" w:rsidRDefault="009F76B3" w:rsidP="009F76B3">
      <w:pPr>
        <w:ind w:left="360"/>
        <w:jc w:val="both"/>
        <w:rPr>
          <w:rFonts w:ascii="Arial" w:hAnsi="Arial" w:cs="Arial"/>
        </w:rPr>
      </w:pPr>
    </w:p>
    <w:p w:rsidR="009F76B3" w:rsidRDefault="00C41CF4" w:rsidP="009F76B3">
      <w:pPr>
        <w:ind w:left="360"/>
        <w:jc w:val="both"/>
        <w:rPr>
          <w:rFonts w:ascii="Arial" w:hAnsi="Arial" w:cs="Arial"/>
        </w:rPr>
      </w:pPr>
      <w:r w:rsidRPr="009F76B3">
        <w:rPr>
          <w:rFonts w:ascii="Arial" w:hAnsi="Arial" w:cs="Arial"/>
        </w:rPr>
        <w:t>“THIS WRITTEN LOAN AGREEMENT REPRESENTS THE FINAL AGREEMENT BETWEEN THE PARTIES AND MAY NOT BE CONTRADICTED BY EVIDENCE OF PRIOR, CONTEMPORANEOUS, OR SUBSEQUENT ORAL AGREEMENTS OF THE PARTIES.”</w:t>
      </w:r>
    </w:p>
    <w:p w:rsidR="009F76B3" w:rsidRDefault="009F76B3" w:rsidP="009F76B3">
      <w:pPr>
        <w:ind w:left="360"/>
        <w:jc w:val="both"/>
        <w:rPr>
          <w:rFonts w:ascii="Arial" w:hAnsi="Arial" w:cs="Arial"/>
        </w:rPr>
      </w:pPr>
    </w:p>
    <w:p w:rsidR="009F76B3" w:rsidRDefault="00C41CF4" w:rsidP="009F76B3">
      <w:pPr>
        <w:ind w:left="360"/>
        <w:jc w:val="both"/>
        <w:rPr>
          <w:rFonts w:ascii="Arial" w:hAnsi="Arial" w:cs="Arial"/>
        </w:rPr>
      </w:pPr>
      <w:r w:rsidRPr="009F76B3">
        <w:rPr>
          <w:rFonts w:ascii="Arial" w:hAnsi="Arial" w:cs="Arial"/>
        </w:rPr>
        <w:t xml:space="preserve">THERE ARE NO UNWRITTEN ORAL </w:t>
      </w:r>
      <w:r w:rsidR="009F76B3">
        <w:rPr>
          <w:rFonts w:ascii="Arial" w:hAnsi="Arial" w:cs="Arial"/>
        </w:rPr>
        <w:t>AGREEMENTS BETWEEN THE PARTIES.</w:t>
      </w:r>
    </w:p>
    <w:p w:rsidR="009F76B3" w:rsidRDefault="009F76B3" w:rsidP="009F76B3">
      <w:pPr>
        <w:ind w:left="360"/>
        <w:jc w:val="both"/>
        <w:rPr>
          <w:rFonts w:ascii="Arial" w:hAnsi="Arial" w:cs="Arial"/>
        </w:rPr>
      </w:pPr>
    </w:p>
    <w:p w:rsidR="0020792F" w:rsidRPr="009F76B3" w:rsidRDefault="00C41CF4" w:rsidP="009F76B3">
      <w:pPr>
        <w:ind w:left="360"/>
        <w:jc w:val="both"/>
        <w:rPr>
          <w:rFonts w:ascii="Arial" w:hAnsi="Arial" w:cs="Arial"/>
          <w:szCs w:val="24"/>
        </w:rPr>
      </w:pPr>
      <w:r w:rsidRPr="009F76B3">
        <w:rPr>
          <w:rFonts w:ascii="Arial" w:hAnsi="Arial" w:cs="Arial"/>
        </w:rPr>
        <w:t>The notice set forth above, which must be signed by both the borrower and the financial institution, can be in a separate document or incorporated in one or more of the documents constituting the loan agreement.</w:t>
      </w:r>
      <w:r w:rsidR="009F76B3">
        <w:rPr>
          <w:rFonts w:ascii="Arial" w:hAnsi="Arial" w:cs="Arial"/>
        </w:rPr>
        <w:t xml:space="preserve"> </w:t>
      </w:r>
      <w:r w:rsidRPr="009F76B3">
        <w:rPr>
          <w:rFonts w:ascii="Arial" w:hAnsi="Arial" w:cs="Arial"/>
        </w:rPr>
        <w:t xml:space="preserve"> The notice must be in type that is boldfaced, capitalized, underlined or otherwise set out from surrounding written material so as to be conspicuous.</w:t>
      </w:r>
    </w:p>
    <w:p w:rsidR="008F7715" w:rsidRDefault="008F7715" w:rsidP="00BF4A76">
      <w:pPr>
        <w:rPr>
          <w:szCs w:val="24"/>
        </w:rPr>
      </w:pPr>
    </w:p>
    <w:p w:rsidR="00D74AF2" w:rsidRDefault="00D74AF2" w:rsidP="00BF4A76">
      <w:pPr>
        <w:rPr>
          <w:szCs w:val="24"/>
        </w:rPr>
      </w:pPr>
    </w:p>
    <w:p w:rsidR="009877AD" w:rsidRDefault="009877AD" w:rsidP="00BF4A76">
      <w:pPr>
        <w:rPr>
          <w:b/>
          <w:szCs w:val="24"/>
        </w:rPr>
      </w:pPr>
    </w:p>
    <w:p w:rsidR="009877AD" w:rsidRDefault="009877AD" w:rsidP="00BF4A76">
      <w:pPr>
        <w:rPr>
          <w:b/>
          <w:szCs w:val="24"/>
        </w:rPr>
      </w:pPr>
    </w:p>
    <w:p w:rsidR="009877AD" w:rsidRDefault="009877AD" w:rsidP="00BF4A76">
      <w:pPr>
        <w:rPr>
          <w:b/>
          <w:szCs w:val="24"/>
        </w:rPr>
      </w:pPr>
    </w:p>
    <w:p w:rsidR="009877AD" w:rsidRDefault="009877AD" w:rsidP="00BF4A76">
      <w:pPr>
        <w:rPr>
          <w:b/>
          <w:szCs w:val="24"/>
        </w:rPr>
      </w:pPr>
    </w:p>
    <w:p w:rsidR="009607E2" w:rsidRPr="00115E74" w:rsidRDefault="00C11E2D" w:rsidP="00BF4A76">
      <w:pPr>
        <w:rPr>
          <w:rFonts w:eastAsia="Times New Roman" w:cs="Times New Roman"/>
          <w:color w:val="000000"/>
          <w:szCs w:val="24"/>
        </w:rPr>
      </w:pPr>
      <w:r w:rsidRPr="00C11E2D">
        <w:rPr>
          <w:b/>
          <w:szCs w:val="24"/>
        </w:rPr>
        <w:lastRenderedPageBreak/>
        <w:t xml:space="preserve">How </w:t>
      </w:r>
      <w:r>
        <w:rPr>
          <w:b/>
          <w:szCs w:val="24"/>
        </w:rPr>
        <w:t>Do I</w:t>
      </w:r>
      <w:r w:rsidRPr="00C11E2D">
        <w:rPr>
          <w:b/>
          <w:szCs w:val="24"/>
        </w:rPr>
        <w:t xml:space="preserve"> Provide Information to Consumers on How to File a Complaint? (</w:t>
      </w:r>
      <w:r w:rsidR="0000520C">
        <w:rPr>
          <w:b/>
          <w:szCs w:val="24"/>
        </w:rPr>
        <w:t xml:space="preserve">AKA </w:t>
      </w:r>
      <w:r w:rsidRPr="00C11E2D">
        <w:rPr>
          <w:b/>
          <w:szCs w:val="24"/>
        </w:rPr>
        <w:t>Consumer Complaint Notice):</w:t>
      </w:r>
      <w:r>
        <w:rPr>
          <w:szCs w:val="24"/>
        </w:rPr>
        <w:t xml:space="preserve">  Per Texas state statute </w:t>
      </w:r>
      <w:hyperlink r:id="rId27" w:history="1">
        <w:r w:rsidR="008F7715" w:rsidRPr="008F7715">
          <w:rPr>
            <w:rStyle w:val="Hyperlink"/>
            <w:szCs w:val="24"/>
          </w:rPr>
          <w:t>7 TAC 11.37</w:t>
        </w:r>
      </w:hyperlink>
      <w:r>
        <w:rPr>
          <w:szCs w:val="24"/>
        </w:rPr>
        <w:t xml:space="preserve">, </w:t>
      </w:r>
      <w:r w:rsidR="009607E2">
        <w:rPr>
          <w:szCs w:val="24"/>
        </w:rPr>
        <w:t xml:space="preserve">a bank must </w:t>
      </w:r>
      <w:r w:rsidR="009607E2" w:rsidRPr="009607E2">
        <w:rPr>
          <w:szCs w:val="24"/>
        </w:rPr>
        <w:t xml:space="preserve">take appropriate steps to let consumers know how to file complaints by </w:t>
      </w:r>
      <w:r w:rsidR="00E14098" w:rsidRPr="00CF0324">
        <w:rPr>
          <w:b/>
          <w:i/>
          <w:szCs w:val="24"/>
          <w:highlight w:val="green"/>
        </w:rPr>
        <w:t>conspicuously</w:t>
      </w:r>
      <w:r w:rsidR="00E14098" w:rsidRPr="00CF0324">
        <w:rPr>
          <w:b/>
          <w:szCs w:val="24"/>
          <w:highlight w:val="green"/>
          <w:vertAlign w:val="superscript"/>
        </w:rPr>
        <w:t>*</w:t>
      </w:r>
      <w:r w:rsidR="00E14098" w:rsidRPr="00CF0324">
        <w:rPr>
          <w:b/>
          <w:szCs w:val="24"/>
          <w:highlight w:val="green"/>
        </w:rPr>
        <w:t xml:space="preserve"> posting</w:t>
      </w:r>
      <w:r w:rsidR="00E14098" w:rsidRPr="00CF0324">
        <w:rPr>
          <w:highlight w:val="green"/>
        </w:rPr>
        <w:t xml:space="preserve"> </w:t>
      </w:r>
      <w:r w:rsidR="00E14098" w:rsidRPr="00CF0324">
        <w:rPr>
          <w:b/>
          <w:highlight w:val="green"/>
        </w:rPr>
        <w:t xml:space="preserve">in </w:t>
      </w:r>
      <w:r w:rsidR="00E14098" w:rsidRPr="00D52B51">
        <w:rPr>
          <w:b/>
          <w:szCs w:val="24"/>
          <w:highlight w:val="green"/>
        </w:rPr>
        <w:t>each area where business is conducted on a face-to-face basis</w:t>
      </w:r>
      <w:r w:rsidR="00D52B51" w:rsidRPr="00D52B51">
        <w:rPr>
          <w:szCs w:val="24"/>
        </w:rPr>
        <w:t xml:space="preserve"> or by </w:t>
      </w:r>
      <w:r w:rsidR="009607E2" w:rsidRPr="009607E2">
        <w:rPr>
          <w:szCs w:val="24"/>
        </w:rPr>
        <w:t xml:space="preserve">giving </w:t>
      </w:r>
      <w:r w:rsidR="009607E2" w:rsidRPr="00115E74">
        <w:rPr>
          <w:szCs w:val="24"/>
        </w:rPr>
        <w:t xml:space="preserve">them </w:t>
      </w:r>
      <w:r w:rsidR="009607E2" w:rsidRPr="00C11E2D">
        <w:rPr>
          <w:rFonts w:eastAsia="Times New Roman" w:cs="Times New Roman"/>
          <w:color w:val="000000"/>
          <w:szCs w:val="24"/>
        </w:rPr>
        <w:t>the followin</w:t>
      </w:r>
      <w:r w:rsidR="00115E74" w:rsidRPr="00115E74">
        <w:rPr>
          <w:rFonts w:eastAsia="Times New Roman" w:cs="Times New Roman"/>
          <w:color w:val="000000"/>
          <w:szCs w:val="24"/>
        </w:rPr>
        <w:t>g</w:t>
      </w:r>
      <w:r w:rsidR="00115E74" w:rsidRPr="00115E74">
        <w:t xml:space="preserve"> </w:t>
      </w:r>
      <w:r w:rsidR="00115E74" w:rsidRPr="00115E74">
        <w:rPr>
          <w:rFonts w:eastAsia="Times New Roman" w:cs="Times New Roman"/>
          <w:color w:val="000000"/>
          <w:szCs w:val="24"/>
        </w:rPr>
        <w:t>notice:</w:t>
      </w:r>
      <w:r w:rsidR="009607E2" w:rsidRPr="00115E74">
        <w:rPr>
          <w:rFonts w:eastAsia="Times New Roman" w:cs="Times New Roman"/>
          <w:color w:val="000000"/>
          <w:szCs w:val="24"/>
        </w:rPr>
        <w:t xml:space="preserve"> </w:t>
      </w:r>
    </w:p>
    <w:p w:rsidR="009607E2" w:rsidRDefault="009607E2" w:rsidP="00BF4A76">
      <w:pPr>
        <w:rPr>
          <w:rFonts w:ascii="Times New Roman" w:eastAsia="Times New Roman" w:hAnsi="Times New Roman" w:cs="Times New Roman"/>
          <w:color w:val="000000"/>
          <w:szCs w:val="24"/>
        </w:rPr>
      </w:pPr>
    </w:p>
    <w:p w:rsidR="00115E74" w:rsidRPr="00756EC8" w:rsidRDefault="00115E74" w:rsidP="00115E74">
      <w:pPr>
        <w:tabs>
          <w:tab w:val="left" w:pos="9643"/>
        </w:tabs>
        <w:ind w:left="360"/>
        <w:rPr>
          <w:sz w:val="40"/>
        </w:rPr>
      </w:pPr>
      <w:r w:rsidRPr="00756EC8">
        <w:rPr>
          <w:color w:val="7F7F7F"/>
          <w:sz w:val="40"/>
          <w:u w:val="thick" w:color="4F82BD"/>
        </w:rPr>
        <w:t>Consumer Complaint</w:t>
      </w:r>
      <w:r w:rsidRPr="00756EC8">
        <w:rPr>
          <w:color w:val="7F7F7F"/>
          <w:spacing w:val="-8"/>
          <w:sz w:val="40"/>
          <w:u w:val="thick" w:color="4F82BD"/>
        </w:rPr>
        <w:t xml:space="preserve"> </w:t>
      </w:r>
      <w:r w:rsidRPr="00756EC8">
        <w:rPr>
          <w:color w:val="7F7F7F"/>
          <w:sz w:val="40"/>
          <w:u w:val="thick" w:color="4F82BD"/>
        </w:rPr>
        <w:t>Notice</w:t>
      </w:r>
      <w:r w:rsidRPr="00756EC8">
        <w:rPr>
          <w:color w:val="7F7F7F"/>
          <w:sz w:val="40"/>
          <w:u w:val="thick" w:color="4F82BD"/>
        </w:rPr>
        <w:tab/>
      </w:r>
    </w:p>
    <w:p w:rsidR="00115E74" w:rsidRDefault="00115E74" w:rsidP="00115E74">
      <w:pPr>
        <w:ind w:left="360" w:right="1455"/>
      </w:pPr>
    </w:p>
    <w:p w:rsidR="00115E74" w:rsidRPr="00D57CEA" w:rsidRDefault="00115E74" w:rsidP="00D57CEA">
      <w:pPr>
        <w:ind w:left="360" w:right="720"/>
        <w:jc w:val="both"/>
        <w:rPr>
          <w:rFonts w:ascii="Arial" w:hAnsi="Arial" w:cs="Arial"/>
          <w:sz w:val="22"/>
        </w:rPr>
      </w:pPr>
      <w:r w:rsidRPr="00D57CEA">
        <w:rPr>
          <w:rFonts w:ascii="Arial" w:hAnsi="Arial" w:cs="Arial"/>
          <w:sz w:val="22"/>
        </w:rPr>
        <w:t xml:space="preserve">PointBank is committed to providing exceptional customer service. </w:t>
      </w:r>
      <w:r w:rsidR="00D57CEA" w:rsidRPr="00D57CEA">
        <w:rPr>
          <w:rFonts w:ascii="Arial" w:hAnsi="Arial" w:cs="Arial"/>
          <w:sz w:val="22"/>
        </w:rPr>
        <w:t xml:space="preserve"> </w:t>
      </w:r>
      <w:r w:rsidRPr="00D57CEA">
        <w:rPr>
          <w:rFonts w:ascii="Arial" w:hAnsi="Arial" w:cs="Arial"/>
          <w:sz w:val="22"/>
        </w:rPr>
        <w:t xml:space="preserve">We welcome the opportunity to address any concerns you may have. </w:t>
      </w:r>
      <w:r w:rsidR="00D57CEA" w:rsidRPr="00D57CEA">
        <w:rPr>
          <w:rFonts w:ascii="Arial" w:hAnsi="Arial" w:cs="Arial"/>
          <w:sz w:val="22"/>
        </w:rPr>
        <w:t xml:space="preserve"> </w:t>
      </w:r>
      <w:r w:rsidRPr="00D57CEA">
        <w:rPr>
          <w:rFonts w:ascii="Arial" w:hAnsi="Arial" w:cs="Arial"/>
          <w:sz w:val="22"/>
        </w:rPr>
        <w:t>We encourage you to contact us using one of the following options:</w:t>
      </w:r>
    </w:p>
    <w:p w:rsidR="00115E74" w:rsidRPr="00D57CEA" w:rsidRDefault="00115E74" w:rsidP="00115E74">
      <w:pPr>
        <w:ind w:left="360" w:right="1455"/>
        <w:rPr>
          <w:rFonts w:ascii="Arial" w:hAnsi="Arial" w:cs="Arial"/>
          <w:sz w:val="22"/>
        </w:rPr>
      </w:pPr>
    </w:p>
    <w:p w:rsidR="00115E74" w:rsidRPr="00D57CEA" w:rsidRDefault="00115E74" w:rsidP="00115E74">
      <w:pPr>
        <w:ind w:left="720" w:right="1577"/>
        <w:rPr>
          <w:rFonts w:ascii="Arial" w:hAnsi="Arial" w:cs="Arial"/>
          <w:sz w:val="22"/>
        </w:rPr>
      </w:pPr>
      <w:r w:rsidRPr="00D57CEA">
        <w:rPr>
          <w:rFonts w:ascii="Arial" w:hAnsi="Arial" w:cs="Arial"/>
          <w:sz w:val="22"/>
        </w:rPr>
        <w:t>In Person: At any of our convenient locations (visit</w:t>
      </w:r>
    </w:p>
    <w:p w:rsidR="00115E74" w:rsidRPr="00D57CEA" w:rsidRDefault="00115E74" w:rsidP="00115E74">
      <w:pPr>
        <w:ind w:left="720" w:right="1577"/>
        <w:rPr>
          <w:rFonts w:ascii="Arial" w:hAnsi="Arial" w:cs="Arial"/>
          <w:sz w:val="22"/>
        </w:rPr>
      </w:pPr>
      <w:r w:rsidRPr="00D57CEA">
        <w:rPr>
          <w:rFonts w:ascii="Arial" w:hAnsi="Arial" w:cs="Arial"/>
          <w:color w:val="0000FF"/>
          <w:sz w:val="22"/>
          <w:u w:val="single" w:color="0000FF"/>
        </w:rPr>
        <w:t>https://</w:t>
      </w:r>
      <w:hyperlink r:id="rId28">
        <w:r w:rsidRPr="00D57CEA">
          <w:rPr>
            <w:rFonts w:ascii="Arial" w:hAnsi="Arial" w:cs="Arial"/>
            <w:color w:val="0000FF"/>
            <w:sz w:val="22"/>
            <w:u w:val="single" w:color="0000FF"/>
          </w:rPr>
          <w:t>www.pointbank.com/locations</w:t>
        </w:r>
      </w:hyperlink>
      <w:r w:rsidRPr="00D57CEA">
        <w:rPr>
          <w:rFonts w:ascii="Arial" w:hAnsi="Arial" w:cs="Arial"/>
          <w:color w:val="0000FF"/>
          <w:sz w:val="22"/>
        </w:rPr>
        <w:t xml:space="preserve"> </w:t>
      </w:r>
      <w:r w:rsidRPr="00D57CEA">
        <w:rPr>
          <w:rFonts w:ascii="Arial" w:hAnsi="Arial" w:cs="Arial"/>
          <w:sz w:val="22"/>
        </w:rPr>
        <w:t>for addresses)</w:t>
      </w:r>
    </w:p>
    <w:p w:rsidR="00115E74" w:rsidRPr="00D57CEA" w:rsidRDefault="00115E74" w:rsidP="00115E74">
      <w:pPr>
        <w:ind w:left="720"/>
        <w:rPr>
          <w:rFonts w:ascii="Arial" w:hAnsi="Arial" w:cs="Arial"/>
          <w:sz w:val="22"/>
        </w:rPr>
      </w:pPr>
    </w:p>
    <w:p w:rsidR="00115E74" w:rsidRPr="00D57CEA" w:rsidRDefault="00115E74" w:rsidP="00115E74">
      <w:pPr>
        <w:ind w:left="720"/>
        <w:rPr>
          <w:rFonts w:ascii="Arial" w:hAnsi="Arial" w:cs="Arial"/>
          <w:sz w:val="22"/>
        </w:rPr>
      </w:pPr>
      <w:r w:rsidRPr="00D57CEA">
        <w:rPr>
          <w:rFonts w:ascii="Arial" w:hAnsi="Arial" w:cs="Arial"/>
          <w:sz w:val="22"/>
        </w:rPr>
        <w:t xml:space="preserve">By Mail: </w:t>
      </w:r>
      <w:r w:rsidR="00D57CEA" w:rsidRPr="00D57CEA">
        <w:rPr>
          <w:rFonts w:ascii="Arial" w:hAnsi="Arial" w:cs="Arial"/>
          <w:sz w:val="22"/>
        </w:rPr>
        <w:t xml:space="preserve"> </w:t>
      </w:r>
      <w:r w:rsidRPr="00D57CEA">
        <w:rPr>
          <w:rFonts w:ascii="Arial" w:hAnsi="Arial" w:cs="Arial"/>
          <w:sz w:val="22"/>
        </w:rPr>
        <w:t>400 Westway St</w:t>
      </w:r>
    </w:p>
    <w:p w:rsidR="00115E74" w:rsidRPr="00D57CEA" w:rsidRDefault="00115E74" w:rsidP="00115E74">
      <w:pPr>
        <w:ind w:left="720"/>
        <w:rPr>
          <w:rFonts w:ascii="Arial" w:hAnsi="Arial" w:cs="Arial"/>
          <w:sz w:val="22"/>
        </w:rPr>
      </w:pPr>
      <w:r w:rsidRPr="00D57CEA">
        <w:rPr>
          <w:rFonts w:ascii="Arial" w:hAnsi="Arial" w:cs="Arial"/>
          <w:sz w:val="22"/>
        </w:rPr>
        <w:t xml:space="preserve">              </w:t>
      </w:r>
      <w:r w:rsidR="00D57CEA" w:rsidRPr="00D57CEA">
        <w:rPr>
          <w:rFonts w:ascii="Arial" w:hAnsi="Arial" w:cs="Arial"/>
          <w:sz w:val="22"/>
        </w:rPr>
        <w:t xml:space="preserve"> </w:t>
      </w:r>
      <w:r w:rsidRPr="00D57CEA">
        <w:rPr>
          <w:rFonts w:ascii="Arial" w:hAnsi="Arial" w:cs="Arial"/>
          <w:sz w:val="22"/>
        </w:rPr>
        <w:t>Denton TX 76201-3027</w:t>
      </w:r>
    </w:p>
    <w:p w:rsidR="00115E74" w:rsidRPr="00D57CEA" w:rsidRDefault="00115E74" w:rsidP="00115E74">
      <w:pPr>
        <w:ind w:left="720"/>
        <w:rPr>
          <w:rFonts w:ascii="Arial" w:hAnsi="Arial" w:cs="Arial"/>
          <w:sz w:val="22"/>
        </w:rPr>
      </w:pPr>
    </w:p>
    <w:p w:rsidR="00115E74" w:rsidRPr="00D57CEA" w:rsidRDefault="00115E74" w:rsidP="00115E74">
      <w:pPr>
        <w:ind w:left="720"/>
        <w:rPr>
          <w:rFonts w:ascii="Arial" w:hAnsi="Arial" w:cs="Arial"/>
          <w:sz w:val="22"/>
        </w:rPr>
      </w:pPr>
      <w:r w:rsidRPr="00D57CEA">
        <w:rPr>
          <w:rFonts w:ascii="Arial" w:hAnsi="Arial" w:cs="Arial"/>
          <w:sz w:val="22"/>
        </w:rPr>
        <w:t>Telephone: (940) 686-7000, (972) 434-3200, or toll free (800) 970-5526</w:t>
      </w:r>
    </w:p>
    <w:p w:rsidR="00A17468" w:rsidRPr="00D57CEA" w:rsidRDefault="00115E74" w:rsidP="00115E74">
      <w:pPr>
        <w:rPr>
          <w:rFonts w:ascii="Arial" w:eastAsia="Times New Roman" w:hAnsi="Arial" w:cs="Arial"/>
          <w:color w:val="000000"/>
          <w:sz w:val="22"/>
        </w:rPr>
      </w:pPr>
      <w:r w:rsidRPr="00D57CEA">
        <w:rPr>
          <w:rFonts w:ascii="Arial" w:hAnsi="Arial" w:cs="Arial"/>
          <w:sz w:val="22"/>
        </w:rPr>
        <w:t xml:space="preserve">                    </w:t>
      </w:r>
      <w:r w:rsidR="00D57CEA" w:rsidRPr="00D57CEA">
        <w:rPr>
          <w:rFonts w:ascii="Arial" w:hAnsi="Arial" w:cs="Arial"/>
          <w:sz w:val="22"/>
        </w:rPr>
        <w:tab/>
        <w:t xml:space="preserve">       </w:t>
      </w:r>
      <w:r w:rsidRPr="00D57CEA">
        <w:rPr>
          <w:rFonts w:ascii="Arial" w:hAnsi="Arial" w:cs="Arial"/>
          <w:sz w:val="22"/>
        </w:rPr>
        <w:t>Monday to Friday 8:00am to 6:00pm</w:t>
      </w:r>
      <w:r w:rsidR="00D57CEA" w:rsidRPr="00D57CEA">
        <w:rPr>
          <w:rFonts w:ascii="Arial" w:hAnsi="Arial" w:cs="Arial"/>
          <w:sz w:val="22"/>
        </w:rPr>
        <w:t xml:space="preserve"> and</w:t>
      </w:r>
      <w:r w:rsidRPr="00D57CEA">
        <w:rPr>
          <w:rFonts w:ascii="Arial" w:hAnsi="Arial" w:cs="Arial"/>
          <w:sz w:val="22"/>
        </w:rPr>
        <w:t xml:space="preserve"> Saturday 9:00am to 12:00</w:t>
      </w:r>
      <w:r w:rsidR="00D57CEA" w:rsidRPr="00D57CEA">
        <w:rPr>
          <w:rFonts w:ascii="Arial" w:hAnsi="Arial" w:cs="Arial"/>
          <w:sz w:val="22"/>
        </w:rPr>
        <w:t xml:space="preserve"> </w:t>
      </w:r>
      <w:r w:rsidRPr="00D57CEA">
        <w:rPr>
          <w:rFonts w:ascii="Arial" w:hAnsi="Arial" w:cs="Arial"/>
          <w:sz w:val="22"/>
        </w:rPr>
        <w:t>noon</w:t>
      </w:r>
    </w:p>
    <w:p w:rsidR="00115E74" w:rsidRPr="00D57CEA" w:rsidRDefault="00115E74" w:rsidP="00A17468">
      <w:pPr>
        <w:ind w:left="360"/>
        <w:rPr>
          <w:rFonts w:ascii="Arial" w:eastAsia="Times New Roman" w:hAnsi="Arial" w:cs="Arial"/>
          <w:color w:val="000000"/>
          <w:sz w:val="22"/>
        </w:rPr>
      </w:pPr>
    </w:p>
    <w:p w:rsidR="00D57CEA" w:rsidRPr="00D57CEA" w:rsidRDefault="00D57CEA" w:rsidP="00D57CEA">
      <w:pPr>
        <w:ind w:left="360" w:right="1080"/>
        <w:jc w:val="both"/>
        <w:rPr>
          <w:rFonts w:ascii="Arial" w:hAnsi="Arial" w:cs="Arial"/>
          <w:sz w:val="22"/>
        </w:rPr>
      </w:pPr>
      <w:r w:rsidRPr="00D57CEA">
        <w:rPr>
          <w:rFonts w:ascii="Arial" w:hAnsi="Arial" w:cs="Arial"/>
          <w:sz w:val="22"/>
        </w:rPr>
        <w:t>PointBank is chartered under the laws of the State of Texas and by state law is subject to regulatory oversight by the Texas Department of Banking.</w:t>
      </w:r>
      <w:r>
        <w:rPr>
          <w:rFonts w:ascii="Arial" w:hAnsi="Arial" w:cs="Arial"/>
          <w:sz w:val="22"/>
        </w:rPr>
        <w:t xml:space="preserve"> </w:t>
      </w:r>
      <w:r w:rsidRPr="00D57CEA">
        <w:rPr>
          <w:rFonts w:ascii="Arial" w:hAnsi="Arial" w:cs="Arial"/>
          <w:sz w:val="22"/>
        </w:rPr>
        <w:t xml:space="preserve"> Any consumer wishing to file a complaint against PointBank should contact the Texas Department of Banking through one of the means indicated below:</w:t>
      </w:r>
    </w:p>
    <w:p w:rsidR="00D57CEA" w:rsidRPr="00D57CEA" w:rsidRDefault="00D57CEA" w:rsidP="00D57CEA">
      <w:pPr>
        <w:ind w:left="360" w:right="1455"/>
        <w:rPr>
          <w:rFonts w:ascii="Arial" w:hAnsi="Arial" w:cs="Arial"/>
          <w:sz w:val="22"/>
        </w:rPr>
      </w:pPr>
    </w:p>
    <w:p w:rsidR="00D57CEA" w:rsidRPr="00D57CEA" w:rsidRDefault="00D57CEA" w:rsidP="00D57CEA">
      <w:pPr>
        <w:pStyle w:val="NoSpacing"/>
        <w:ind w:left="720"/>
      </w:pPr>
      <w:r w:rsidRPr="00D57CEA">
        <w:t>In Person or U.S. Mail:  2601 North Lamar Blvd, Ste 300</w:t>
      </w:r>
    </w:p>
    <w:p w:rsidR="00D57CEA" w:rsidRPr="00D57CEA" w:rsidRDefault="00D57CEA" w:rsidP="00D57CEA">
      <w:pPr>
        <w:pStyle w:val="NoSpacing"/>
        <w:ind w:left="720"/>
      </w:pPr>
      <w:r w:rsidRPr="00D57CEA">
        <w:t xml:space="preserve">                                      Austin, TX  78705-4261</w:t>
      </w:r>
    </w:p>
    <w:p w:rsidR="00D57CEA" w:rsidRPr="00D57CEA" w:rsidRDefault="00D57CEA" w:rsidP="00D57CEA">
      <w:pPr>
        <w:ind w:left="720"/>
        <w:rPr>
          <w:rFonts w:ascii="Arial" w:hAnsi="Arial" w:cs="Arial"/>
          <w:sz w:val="22"/>
        </w:rPr>
      </w:pPr>
    </w:p>
    <w:p w:rsidR="00D57CEA" w:rsidRPr="00D57CEA" w:rsidRDefault="00D57CEA" w:rsidP="00D57CEA">
      <w:pPr>
        <w:ind w:left="720"/>
        <w:rPr>
          <w:rFonts w:ascii="Arial" w:hAnsi="Arial" w:cs="Arial"/>
          <w:sz w:val="22"/>
        </w:rPr>
      </w:pPr>
      <w:r w:rsidRPr="00D57CEA">
        <w:rPr>
          <w:rFonts w:ascii="Arial" w:hAnsi="Arial" w:cs="Arial"/>
          <w:sz w:val="22"/>
        </w:rPr>
        <w:t>Telephone: (877) 276-5554</w:t>
      </w:r>
    </w:p>
    <w:p w:rsidR="00D57CEA" w:rsidRPr="00D57CEA" w:rsidRDefault="00D57CEA" w:rsidP="00D57CEA">
      <w:pPr>
        <w:ind w:left="720"/>
        <w:rPr>
          <w:rFonts w:ascii="Arial" w:hAnsi="Arial" w:cs="Arial"/>
          <w:sz w:val="22"/>
        </w:rPr>
      </w:pPr>
    </w:p>
    <w:p w:rsidR="00D57CEA" w:rsidRPr="00D57CEA" w:rsidRDefault="00D57CEA" w:rsidP="00D57CEA">
      <w:pPr>
        <w:ind w:left="720"/>
        <w:rPr>
          <w:rFonts w:ascii="Arial" w:hAnsi="Arial" w:cs="Arial"/>
          <w:sz w:val="22"/>
        </w:rPr>
      </w:pPr>
      <w:r w:rsidRPr="00D57CEA">
        <w:rPr>
          <w:rFonts w:ascii="Arial" w:hAnsi="Arial" w:cs="Arial"/>
          <w:sz w:val="22"/>
        </w:rPr>
        <w:t>Fax No: (512) 475-1313</w:t>
      </w:r>
    </w:p>
    <w:p w:rsidR="00D57CEA" w:rsidRPr="00D57CEA" w:rsidRDefault="00D57CEA" w:rsidP="00D57CEA">
      <w:pPr>
        <w:ind w:left="720"/>
        <w:rPr>
          <w:rFonts w:ascii="Arial" w:hAnsi="Arial" w:cs="Arial"/>
          <w:sz w:val="22"/>
        </w:rPr>
      </w:pPr>
    </w:p>
    <w:p w:rsidR="00D57CEA" w:rsidRPr="00D57CEA" w:rsidRDefault="00D57CEA" w:rsidP="00D57CEA">
      <w:pPr>
        <w:ind w:left="720" w:right="4916"/>
        <w:rPr>
          <w:rFonts w:ascii="Arial" w:hAnsi="Arial" w:cs="Arial"/>
          <w:color w:val="0000FF"/>
          <w:sz w:val="22"/>
        </w:rPr>
      </w:pPr>
      <w:r w:rsidRPr="00D57CEA">
        <w:rPr>
          <w:rFonts w:ascii="Arial" w:hAnsi="Arial" w:cs="Arial"/>
          <w:sz w:val="22"/>
        </w:rPr>
        <w:t xml:space="preserve">Email: </w:t>
      </w:r>
      <w:hyperlink r:id="rId29">
        <w:r w:rsidRPr="00D57CEA">
          <w:rPr>
            <w:rFonts w:ascii="Arial" w:hAnsi="Arial" w:cs="Arial"/>
            <w:color w:val="0000FF"/>
            <w:sz w:val="22"/>
            <w:u w:val="single" w:color="0000FF"/>
          </w:rPr>
          <w:t>consumer.complaints@dob.texas.gov</w:t>
        </w:r>
      </w:hyperlink>
    </w:p>
    <w:p w:rsidR="00D57CEA" w:rsidRPr="00D57CEA" w:rsidRDefault="00D57CEA" w:rsidP="00D57CEA">
      <w:pPr>
        <w:ind w:left="720" w:right="4916"/>
        <w:rPr>
          <w:rFonts w:ascii="Arial" w:hAnsi="Arial" w:cs="Arial"/>
          <w:color w:val="0000FF"/>
          <w:sz w:val="22"/>
        </w:rPr>
      </w:pPr>
    </w:p>
    <w:p w:rsidR="00D57CEA" w:rsidRPr="00D57CEA" w:rsidRDefault="00D57CEA" w:rsidP="00D57CEA">
      <w:pPr>
        <w:ind w:left="720" w:right="4916"/>
        <w:rPr>
          <w:rFonts w:ascii="Arial" w:hAnsi="Arial" w:cs="Arial"/>
          <w:sz w:val="22"/>
        </w:rPr>
      </w:pPr>
      <w:r w:rsidRPr="00D57CEA">
        <w:rPr>
          <w:rFonts w:ascii="Arial" w:hAnsi="Arial" w:cs="Arial"/>
          <w:sz w:val="22"/>
        </w:rPr>
        <w:t>Website:</w:t>
      </w:r>
      <w:r w:rsidRPr="00D57CEA">
        <w:rPr>
          <w:rFonts w:ascii="Arial" w:hAnsi="Arial" w:cs="Arial"/>
          <w:spacing w:val="56"/>
          <w:sz w:val="22"/>
        </w:rPr>
        <w:t xml:space="preserve"> </w:t>
      </w:r>
      <w:hyperlink r:id="rId30">
        <w:r w:rsidRPr="00D57CEA">
          <w:rPr>
            <w:rFonts w:ascii="Arial" w:hAnsi="Arial" w:cs="Arial"/>
            <w:color w:val="0000FF"/>
            <w:sz w:val="22"/>
            <w:u w:val="single" w:color="0000FF"/>
          </w:rPr>
          <w:t>www.dob.texas.gov</w:t>
        </w:r>
      </w:hyperlink>
    </w:p>
    <w:p w:rsidR="00D57CEA" w:rsidRDefault="00D57CEA" w:rsidP="00A17468">
      <w:pPr>
        <w:ind w:left="360"/>
        <w:rPr>
          <w:rFonts w:ascii="Times New Roman" w:eastAsia="Times New Roman" w:hAnsi="Times New Roman" w:cs="Times New Roman"/>
          <w:color w:val="000000"/>
          <w:szCs w:val="24"/>
        </w:rPr>
      </w:pPr>
    </w:p>
    <w:p w:rsidR="00D57CEA" w:rsidRDefault="00D57CEA" w:rsidP="00A17468">
      <w:pPr>
        <w:ind w:left="360"/>
        <w:rPr>
          <w:rFonts w:ascii="Times New Roman" w:eastAsia="Times New Roman" w:hAnsi="Times New Roman" w:cs="Times New Roman"/>
          <w:color w:val="000000"/>
          <w:szCs w:val="24"/>
        </w:rPr>
      </w:pPr>
    </w:p>
    <w:p w:rsidR="005F2CB2" w:rsidRPr="009877AD" w:rsidRDefault="005F2CB2" w:rsidP="005F2CB2">
      <w:pPr>
        <w:rPr>
          <w:rFonts w:eastAsia="Times New Roman" w:cs="Times New Roman"/>
          <w:color w:val="000000"/>
          <w:sz w:val="18"/>
          <w:szCs w:val="18"/>
        </w:rPr>
      </w:pPr>
      <w:r w:rsidRPr="009877AD">
        <w:rPr>
          <w:rFonts w:eastAsia="Times New Roman" w:cs="Times New Roman"/>
          <w:color w:val="000000"/>
          <w:sz w:val="18"/>
          <w:szCs w:val="18"/>
          <w:vertAlign w:val="superscript"/>
        </w:rPr>
        <w:t>*</w:t>
      </w:r>
      <w:r w:rsidRPr="009877AD">
        <w:rPr>
          <w:rFonts w:eastAsia="Times New Roman" w:cs="Times New Roman"/>
          <w:color w:val="000000"/>
          <w:sz w:val="18"/>
          <w:szCs w:val="18"/>
        </w:rPr>
        <w:t xml:space="preserve"> </w:t>
      </w:r>
      <w:r w:rsidRPr="00C11E2D">
        <w:rPr>
          <w:rFonts w:eastAsia="Times New Roman" w:cs="Times New Roman"/>
          <w:color w:val="000000"/>
          <w:sz w:val="18"/>
          <w:szCs w:val="18"/>
        </w:rPr>
        <w:t>A notice is deemed to be conspicuously posted if a consumer with 20/20 vision can read it from the place where he or she would typically conduct business or if it is included on a bulletin board, in plain view, on which all required notices to the general public (such as equal housing posters, licenses, Community Reinvestment Act notices, etc.) are posted.</w:t>
      </w:r>
    </w:p>
    <w:p w:rsidR="005F2CB2" w:rsidRPr="009877AD" w:rsidRDefault="005F2CB2" w:rsidP="005F2CB2">
      <w:pPr>
        <w:rPr>
          <w:rFonts w:eastAsia="Times New Roman" w:cs="Times New Roman"/>
          <w:color w:val="000000"/>
          <w:szCs w:val="24"/>
        </w:rPr>
      </w:pPr>
    </w:p>
    <w:p w:rsidR="009877AD" w:rsidRPr="005F2CB2" w:rsidRDefault="009877AD" w:rsidP="009877AD">
      <w:pPr>
        <w:rPr>
          <w:rFonts w:eastAsia="Times New Roman" w:cs="Times New Roman"/>
          <w:color w:val="000000"/>
          <w:szCs w:val="24"/>
        </w:rPr>
      </w:pPr>
      <w:r w:rsidRPr="005F2CB2">
        <w:rPr>
          <w:rFonts w:eastAsia="Times New Roman" w:cs="Times New Roman"/>
          <w:color w:val="000000"/>
          <w:szCs w:val="24"/>
        </w:rPr>
        <w:t>Additionally, the required notice</w:t>
      </w:r>
      <w:r w:rsidR="005F2CB2">
        <w:rPr>
          <w:rFonts w:eastAsia="Times New Roman" w:cs="Times New Roman"/>
          <w:color w:val="000000"/>
          <w:szCs w:val="24"/>
        </w:rPr>
        <w:t>…</w:t>
      </w:r>
    </w:p>
    <w:p w:rsidR="009877AD" w:rsidRPr="005F2CB2" w:rsidRDefault="009877AD" w:rsidP="009877AD">
      <w:pPr>
        <w:rPr>
          <w:rFonts w:eastAsia="Times New Roman" w:cs="Times New Roman"/>
          <w:color w:val="000000"/>
          <w:szCs w:val="24"/>
        </w:rPr>
      </w:pPr>
    </w:p>
    <w:p w:rsidR="009877AD" w:rsidRPr="005F2CB2" w:rsidRDefault="009877AD" w:rsidP="009877AD">
      <w:pPr>
        <w:pStyle w:val="ListParagraph"/>
        <w:numPr>
          <w:ilvl w:val="0"/>
          <w:numId w:val="5"/>
        </w:numPr>
        <w:rPr>
          <w:rFonts w:eastAsia="Times New Roman" w:cs="Times New Roman"/>
          <w:color w:val="000000"/>
          <w:szCs w:val="24"/>
        </w:rPr>
      </w:pPr>
      <w:r w:rsidRPr="005F2CB2">
        <w:rPr>
          <w:rFonts w:eastAsia="Times New Roman" w:cs="Times New Roman"/>
          <w:color w:val="000000"/>
          <w:szCs w:val="24"/>
        </w:rPr>
        <w:t>must be included with each privacy notice sent out,</w:t>
      </w:r>
    </w:p>
    <w:p w:rsidR="009877AD" w:rsidRPr="005F2CB2" w:rsidRDefault="009877AD" w:rsidP="009877AD">
      <w:pPr>
        <w:pStyle w:val="ListParagraph"/>
        <w:numPr>
          <w:ilvl w:val="0"/>
          <w:numId w:val="5"/>
        </w:numPr>
        <w:rPr>
          <w:rFonts w:eastAsia="Times New Roman" w:cs="Times New Roman"/>
          <w:color w:val="000000"/>
          <w:szCs w:val="24"/>
        </w:rPr>
      </w:pPr>
      <w:r w:rsidRPr="005F2CB2">
        <w:rPr>
          <w:rFonts w:eastAsia="Times New Roman" w:cs="Times New Roman"/>
          <w:color w:val="000000"/>
          <w:szCs w:val="24"/>
        </w:rPr>
        <w:t>must be provided in the language in which the transaction is conducted,</w:t>
      </w:r>
    </w:p>
    <w:p w:rsidR="009877AD" w:rsidRPr="005F2CB2" w:rsidRDefault="009877AD" w:rsidP="009877AD">
      <w:pPr>
        <w:pStyle w:val="ListParagraph"/>
        <w:numPr>
          <w:ilvl w:val="0"/>
          <w:numId w:val="5"/>
        </w:numPr>
        <w:rPr>
          <w:rFonts w:eastAsia="Times New Roman" w:cs="Times New Roman"/>
          <w:color w:val="000000"/>
          <w:szCs w:val="24"/>
        </w:rPr>
      </w:pPr>
      <w:r w:rsidRPr="00C11E2D">
        <w:rPr>
          <w:rFonts w:eastAsia="Times New Roman" w:cs="Times New Roman"/>
          <w:color w:val="000000"/>
          <w:szCs w:val="24"/>
        </w:rPr>
        <w:t xml:space="preserve">must </w:t>
      </w:r>
      <w:r w:rsidRPr="005F2CB2">
        <w:rPr>
          <w:rFonts w:eastAsia="Times New Roman" w:cs="Times New Roman"/>
          <w:color w:val="000000"/>
          <w:szCs w:val="24"/>
        </w:rPr>
        <w:t xml:space="preserve">be </w:t>
      </w:r>
      <w:r w:rsidRPr="00C11E2D">
        <w:rPr>
          <w:rFonts w:eastAsia="Times New Roman" w:cs="Times New Roman"/>
          <w:color w:val="000000"/>
          <w:szCs w:val="24"/>
        </w:rPr>
        <w:t>give</w:t>
      </w:r>
      <w:r w:rsidRPr="005F2CB2">
        <w:rPr>
          <w:rFonts w:eastAsia="Times New Roman" w:cs="Times New Roman"/>
          <w:color w:val="000000"/>
          <w:szCs w:val="24"/>
        </w:rPr>
        <w:t>n</w:t>
      </w:r>
      <w:r w:rsidRPr="00C11E2D">
        <w:rPr>
          <w:rFonts w:eastAsia="Times New Roman" w:cs="Times New Roman"/>
          <w:color w:val="000000"/>
          <w:szCs w:val="24"/>
        </w:rPr>
        <w:t xml:space="preserve"> when the consumer first obtains a product or service</w:t>
      </w:r>
      <w:r w:rsidRPr="005F2CB2">
        <w:rPr>
          <w:rFonts w:eastAsia="Times New Roman" w:cs="Times New Roman"/>
          <w:color w:val="000000"/>
          <w:szCs w:val="24"/>
        </w:rPr>
        <w:t xml:space="preserve"> </w:t>
      </w:r>
      <w:r w:rsidRPr="005F2CB2">
        <w:rPr>
          <w:rFonts w:eastAsia="Times New Roman" w:cs="Times New Roman"/>
          <w:color w:val="000000"/>
          <w:sz w:val="18"/>
          <w:szCs w:val="18"/>
        </w:rPr>
        <w:t xml:space="preserve">(if not given a </w:t>
      </w:r>
      <w:r w:rsidRPr="005F2CB2">
        <w:rPr>
          <w:rFonts w:eastAsia="Times New Roman" w:cs="Times New Roman"/>
          <w:i/>
          <w:color w:val="000000"/>
          <w:sz w:val="18"/>
          <w:szCs w:val="18"/>
        </w:rPr>
        <w:t>Privacy Notice</w:t>
      </w:r>
      <w:r w:rsidRPr="005F2CB2">
        <w:rPr>
          <w:rFonts w:eastAsia="Times New Roman" w:cs="Times New Roman"/>
          <w:color w:val="000000"/>
          <w:sz w:val="18"/>
          <w:szCs w:val="18"/>
        </w:rPr>
        <w:t>)</w:t>
      </w:r>
      <w:r w:rsidRPr="005F2CB2">
        <w:rPr>
          <w:rFonts w:eastAsia="Times New Roman" w:cs="Times New Roman"/>
          <w:color w:val="000000"/>
          <w:szCs w:val="24"/>
        </w:rPr>
        <w:t>, and</w:t>
      </w:r>
    </w:p>
    <w:p w:rsidR="009877AD" w:rsidRPr="005F2CB2" w:rsidRDefault="005F2CB2" w:rsidP="005F2CB2">
      <w:pPr>
        <w:pStyle w:val="ListParagraph"/>
        <w:numPr>
          <w:ilvl w:val="0"/>
          <w:numId w:val="5"/>
        </w:numPr>
        <w:rPr>
          <w:rFonts w:eastAsia="Times New Roman" w:cs="Times New Roman"/>
          <w:color w:val="000000"/>
          <w:szCs w:val="24"/>
        </w:rPr>
      </w:pPr>
      <w:r w:rsidRPr="00C11E2D">
        <w:rPr>
          <w:rFonts w:eastAsia="Times New Roman" w:cs="Times New Roman"/>
          <w:color w:val="000000"/>
          <w:szCs w:val="24"/>
        </w:rPr>
        <w:t xml:space="preserve">must </w:t>
      </w:r>
      <w:r w:rsidRPr="005F2CB2">
        <w:rPr>
          <w:rFonts w:eastAsia="Times New Roman" w:cs="Times New Roman"/>
          <w:color w:val="000000"/>
          <w:szCs w:val="24"/>
        </w:rPr>
        <w:t xml:space="preserve">be </w:t>
      </w:r>
      <w:r w:rsidRPr="00C11E2D">
        <w:rPr>
          <w:rFonts w:eastAsia="Times New Roman" w:cs="Times New Roman"/>
          <w:color w:val="000000"/>
          <w:szCs w:val="24"/>
        </w:rPr>
        <w:t>access</w:t>
      </w:r>
      <w:r w:rsidRPr="005F2CB2">
        <w:rPr>
          <w:rFonts w:eastAsia="Times New Roman" w:cs="Times New Roman"/>
          <w:color w:val="000000"/>
          <w:szCs w:val="24"/>
        </w:rPr>
        <w:t>ible</w:t>
      </w:r>
      <w:r w:rsidRPr="00C11E2D">
        <w:rPr>
          <w:rFonts w:eastAsia="Times New Roman" w:cs="Times New Roman"/>
          <w:color w:val="000000"/>
          <w:szCs w:val="24"/>
        </w:rPr>
        <w:t xml:space="preserve"> </w:t>
      </w:r>
      <w:r w:rsidRPr="005F2CB2">
        <w:rPr>
          <w:rFonts w:eastAsia="Times New Roman" w:cs="Times New Roman"/>
          <w:color w:val="000000"/>
          <w:szCs w:val="24"/>
        </w:rPr>
        <w:t>on t</w:t>
      </w:r>
      <w:r w:rsidR="009877AD" w:rsidRPr="00C11E2D">
        <w:rPr>
          <w:rFonts w:eastAsia="Times New Roman" w:cs="Times New Roman"/>
          <w:color w:val="000000"/>
          <w:szCs w:val="24"/>
        </w:rPr>
        <w:t xml:space="preserve">hose portions of </w:t>
      </w:r>
      <w:r>
        <w:rPr>
          <w:rFonts w:eastAsia="Times New Roman" w:cs="Times New Roman"/>
          <w:color w:val="000000"/>
          <w:szCs w:val="24"/>
        </w:rPr>
        <w:t>the bank’s</w:t>
      </w:r>
      <w:r w:rsidR="009877AD" w:rsidRPr="00C11E2D">
        <w:rPr>
          <w:rFonts w:eastAsia="Times New Roman" w:cs="Times New Roman"/>
          <w:color w:val="000000"/>
          <w:szCs w:val="24"/>
        </w:rPr>
        <w:t xml:space="preserve"> website offer</w:t>
      </w:r>
      <w:r>
        <w:rPr>
          <w:rFonts w:eastAsia="Times New Roman" w:cs="Times New Roman"/>
          <w:color w:val="000000"/>
          <w:szCs w:val="24"/>
        </w:rPr>
        <w:t>ing</w:t>
      </w:r>
      <w:r w:rsidR="009877AD" w:rsidRPr="00C11E2D">
        <w:rPr>
          <w:rFonts w:eastAsia="Times New Roman" w:cs="Times New Roman"/>
          <w:color w:val="000000"/>
          <w:szCs w:val="24"/>
        </w:rPr>
        <w:t xml:space="preserve"> consumer goods and services.</w:t>
      </w:r>
    </w:p>
    <w:p w:rsidR="009877AD" w:rsidRDefault="009877AD">
      <w:pPr>
        <w:rPr>
          <w:szCs w:val="24"/>
        </w:rPr>
      </w:pPr>
    </w:p>
    <w:p w:rsidR="00617AF8" w:rsidRDefault="00617AF8">
      <w:pPr>
        <w:rPr>
          <w:szCs w:val="24"/>
        </w:rPr>
      </w:pPr>
    </w:p>
    <w:p w:rsidR="00E71CCF" w:rsidRDefault="00E71CCF">
      <w:pPr>
        <w:rPr>
          <w:szCs w:val="24"/>
        </w:rPr>
      </w:pPr>
    </w:p>
    <w:p w:rsidR="00E71CCF" w:rsidRPr="00A24A34" w:rsidRDefault="00E71CCF" w:rsidP="00E71CCF">
      <w:pPr>
        <w:jc w:val="center"/>
        <w:rPr>
          <w:b/>
          <w:sz w:val="48"/>
        </w:rPr>
      </w:pPr>
      <w:r w:rsidRPr="00A24A34">
        <w:rPr>
          <w:b/>
          <w:i/>
          <w:sz w:val="48"/>
        </w:rPr>
        <w:lastRenderedPageBreak/>
        <w:t>RE</w:t>
      </w:r>
      <w:r>
        <w:rPr>
          <w:b/>
          <w:i/>
          <w:sz w:val="48"/>
        </w:rPr>
        <w:t>COMMEND</w:t>
      </w:r>
      <w:r w:rsidRPr="00A24A34">
        <w:rPr>
          <w:b/>
          <w:i/>
          <w:sz w:val="48"/>
        </w:rPr>
        <w:t>ED</w:t>
      </w:r>
      <w:r w:rsidRPr="00A24A34">
        <w:rPr>
          <w:b/>
          <w:sz w:val="48"/>
        </w:rPr>
        <w:t xml:space="preserve"> Bank Lobby Signage</w:t>
      </w:r>
    </w:p>
    <w:p w:rsidR="00E71CCF" w:rsidRDefault="00E71CCF" w:rsidP="00E71CCF"/>
    <w:p w:rsidR="00E71CCF" w:rsidRDefault="00E71CCF" w:rsidP="00E71CCF">
      <w:pPr>
        <w:rPr>
          <w:b/>
        </w:rPr>
      </w:pPr>
    </w:p>
    <w:p w:rsidR="00E71CCF" w:rsidRPr="00BF4A76" w:rsidRDefault="00507C28" w:rsidP="00E71CCF">
      <w:pPr>
        <w:rPr>
          <w:b/>
          <w:sz w:val="32"/>
        </w:rPr>
      </w:pPr>
      <w:r>
        <w:rPr>
          <w:noProof/>
        </w:rPr>
        <w:drawing>
          <wp:inline distT="0" distB="0" distL="0" distR="0" wp14:anchorId="7C7D2DE7" wp14:editId="6956FD43">
            <wp:extent cx="370114" cy="229829"/>
            <wp:effectExtent l="0" t="0" r="0" b="0"/>
            <wp:docPr id="6" name="Picture 6" descr="https://images.creativemarket.com/0.1.0/ps/1652957/6792/3656/m1/fpnw/wm1/american-flag-.jpg?1473760532&amp;s=8ff7bab90a57b218e76e2b234a28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creativemarket.com/0.1.0/ps/1652957/6792/3656/m1/fpnw/wm1/american-flag-.jpg?1473760532&amp;s=8ff7bab90a57b218e76e2b234a2878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276" cy="234897"/>
                    </a:xfrm>
                    <a:prstGeom prst="rect">
                      <a:avLst/>
                    </a:prstGeom>
                    <a:noFill/>
                    <a:ln>
                      <a:noFill/>
                    </a:ln>
                  </pic:spPr>
                </pic:pic>
              </a:graphicData>
            </a:graphic>
          </wp:inline>
        </w:drawing>
      </w:r>
      <w:r>
        <w:rPr>
          <w:b/>
          <w:sz w:val="32"/>
        </w:rPr>
        <w:t xml:space="preserve"> </w:t>
      </w:r>
      <w:r w:rsidR="00E71CCF" w:rsidRPr="00BF4A76">
        <w:rPr>
          <w:b/>
          <w:sz w:val="32"/>
        </w:rPr>
        <w:t>Federal Notices/Disclosures:</w:t>
      </w:r>
    </w:p>
    <w:p w:rsidR="00E71CCF" w:rsidRDefault="00E71CCF" w:rsidP="00E71CCF">
      <w:pPr>
        <w:rPr>
          <w:b/>
        </w:rPr>
      </w:pPr>
    </w:p>
    <w:p w:rsidR="00E71CCF" w:rsidRDefault="00E71CCF" w:rsidP="00E71CCF">
      <w:r>
        <w:rPr>
          <w:b/>
        </w:rPr>
        <w:t>Fair Credit Reporting</w:t>
      </w:r>
      <w:r w:rsidRPr="00E2674F">
        <w:rPr>
          <w:b/>
        </w:rPr>
        <w:t xml:space="preserve"> Act (</w:t>
      </w:r>
      <w:r>
        <w:rPr>
          <w:b/>
        </w:rPr>
        <w:t>F</w:t>
      </w:r>
      <w:r w:rsidRPr="00E2674F">
        <w:rPr>
          <w:b/>
        </w:rPr>
        <w:t>CRA) Notice:</w:t>
      </w:r>
      <w:r w:rsidRPr="00A24A34">
        <w:t xml:space="preserve">  </w:t>
      </w:r>
      <w:r w:rsidR="00223066">
        <w:t xml:space="preserve">A furnisher (i.e. the bank) </w:t>
      </w:r>
      <w:r w:rsidR="00223066" w:rsidRPr="00223066">
        <w:rPr>
          <w:i/>
        </w:rPr>
        <w:t>may</w:t>
      </w:r>
      <w:r w:rsidR="00223066">
        <w:t xml:space="preserve"> designate a specific “direct dispute” address </w:t>
      </w:r>
      <w:r w:rsidR="00223066" w:rsidRPr="002403FF">
        <w:rPr>
          <w:sz w:val="18"/>
        </w:rPr>
        <w:t xml:space="preserve">[see </w:t>
      </w:r>
      <w:hyperlink r:id="rId31" w:anchor="c-2" w:history="1">
        <w:r w:rsidR="00223066" w:rsidRPr="002403FF">
          <w:rPr>
            <w:rStyle w:val="Hyperlink"/>
            <w:color w:val="auto"/>
            <w:sz w:val="18"/>
            <w:u w:val="none"/>
          </w:rPr>
          <w:t>12 CFR §1022.43(c)(2)</w:t>
        </w:r>
      </w:hyperlink>
      <w:r w:rsidR="00223066" w:rsidRPr="002403FF">
        <w:rPr>
          <w:sz w:val="18"/>
        </w:rPr>
        <w:t>]</w:t>
      </w:r>
      <w:r w:rsidR="00223066">
        <w:t xml:space="preserve"> for consumers to dispute information they believe to have been reported i</w:t>
      </w:r>
      <w:r w:rsidR="00656C49">
        <w:t xml:space="preserve">n error to the credit bureaus.  The particular dispute address may be set forth on a consumer report relating to the consumer or </w:t>
      </w:r>
      <w:r w:rsidR="002403FF" w:rsidRPr="002403FF">
        <w:rPr>
          <w:b/>
          <w:highlight w:val="green"/>
        </w:rPr>
        <w:t>clearly and conspicuously specified by the furnisher</w:t>
      </w:r>
      <w:r w:rsidR="002403FF" w:rsidRPr="002403FF">
        <w:t xml:space="preserve"> for submitting direct disputes that is </w:t>
      </w:r>
      <w:r w:rsidR="002403FF" w:rsidRPr="0000520C">
        <w:rPr>
          <w:highlight w:val="yellow"/>
        </w:rPr>
        <w:t>provided to the consumer in writing or electronically</w:t>
      </w:r>
      <w:r w:rsidR="002403FF" w:rsidRPr="002403FF">
        <w:t xml:space="preserve"> </w:t>
      </w:r>
      <w:r w:rsidR="002403FF" w:rsidRPr="002403FF">
        <w:rPr>
          <w:sz w:val="18"/>
        </w:rPr>
        <w:t>(if the consumer has agreed to the electronic delivery of information from the furnisher)</w:t>
      </w:r>
      <w:r w:rsidR="002403FF">
        <w:t xml:space="preserve">.  </w:t>
      </w:r>
      <w:r w:rsidR="00656C49">
        <w:t>Otherwise, l</w:t>
      </w:r>
      <w:r w:rsidR="00223066">
        <w:t xml:space="preserve">ike Regulation E </w:t>
      </w:r>
      <w:r w:rsidR="00223066" w:rsidRPr="002403FF">
        <w:rPr>
          <w:sz w:val="18"/>
        </w:rPr>
        <w:t xml:space="preserve">[see </w:t>
      </w:r>
      <w:hyperlink r:id="rId32" w:anchor="b-5-i" w:history="1">
        <w:r w:rsidR="00223066" w:rsidRPr="002403FF">
          <w:rPr>
            <w:rStyle w:val="Hyperlink"/>
            <w:color w:val="auto"/>
            <w:sz w:val="18"/>
            <w:u w:val="none"/>
          </w:rPr>
          <w:t>12 CFR §1005.6(b)(5)(i)</w:t>
        </w:r>
      </w:hyperlink>
      <w:r w:rsidR="00223066" w:rsidRPr="002403FF">
        <w:rPr>
          <w:sz w:val="18"/>
        </w:rPr>
        <w:t xml:space="preserve"> and </w:t>
      </w:r>
      <w:hyperlink r:id="rId33" w:anchor="b-1" w:history="1">
        <w:r w:rsidR="00223066" w:rsidRPr="002403FF">
          <w:rPr>
            <w:rStyle w:val="Hyperlink"/>
            <w:color w:val="auto"/>
            <w:sz w:val="18"/>
            <w:u w:val="none"/>
          </w:rPr>
          <w:t>§1005.11(b)(1)</w:t>
        </w:r>
      </w:hyperlink>
      <w:r w:rsidR="00223066" w:rsidRPr="002403FF">
        <w:rPr>
          <w:sz w:val="18"/>
        </w:rPr>
        <w:t>]</w:t>
      </w:r>
      <w:r w:rsidR="00223066">
        <w:t xml:space="preserve">, if the bank has not designated and provided a specific dispute address, </w:t>
      </w:r>
      <w:r w:rsidR="00C800B7">
        <w:t xml:space="preserve">the investigation </w:t>
      </w:r>
      <w:r w:rsidR="0083540F">
        <w:t>“</w:t>
      </w:r>
      <w:r w:rsidR="00C800B7">
        <w:t>clock</w:t>
      </w:r>
      <w:r w:rsidR="0083540F">
        <w:t>”</w:t>
      </w:r>
      <w:r w:rsidR="00C800B7">
        <w:t xml:space="preserve"> begins when notification is provided to the bank via </w:t>
      </w:r>
      <w:r w:rsidR="00C800B7" w:rsidRPr="00CE0745">
        <w:rPr>
          <w:i/>
        </w:rPr>
        <w:t>any</w:t>
      </w:r>
      <w:r w:rsidR="00C800B7">
        <w:t xml:space="preserve"> employee </w:t>
      </w:r>
      <w:r w:rsidR="00C800B7" w:rsidRPr="002403FF">
        <w:rPr>
          <w:sz w:val="18"/>
        </w:rPr>
        <w:t xml:space="preserve">[see </w:t>
      </w:r>
      <w:hyperlink r:id="rId34" w:anchor="c-3" w:history="1">
        <w:r w:rsidR="00C800B7" w:rsidRPr="002403FF">
          <w:rPr>
            <w:rStyle w:val="Hyperlink"/>
            <w:color w:val="auto"/>
            <w:sz w:val="18"/>
            <w:u w:val="none"/>
          </w:rPr>
          <w:t>12 CFR §1022.43(c)(3)</w:t>
        </w:r>
      </w:hyperlink>
      <w:r w:rsidR="00C800B7" w:rsidRPr="002403FF">
        <w:rPr>
          <w:sz w:val="18"/>
        </w:rPr>
        <w:t>]</w:t>
      </w:r>
      <w:r w:rsidR="00C800B7">
        <w:t xml:space="preserve">.  </w:t>
      </w:r>
    </w:p>
    <w:p w:rsidR="00E71CCF" w:rsidRDefault="00E71CCF" w:rsidP="00E71CCF"/>
    <w:p w:rsidR="00E71CCF" w:rsidRPr="00B71F0A" w:rsidRDefault="00E71CCF" w:rsidP="00E71CCF">
      <w:pPr>
        <w:ind w:left="360"/>
        <w:rPr>
          <w:b/>
        </w:rPr>
      </w:pPr>
      <w:r w:rsidRPr="00B71F0A">
        <w:rPr>
          <w:b/>
        </w:rPr>
        <w:t xml:space="preserve">Credit Report Disputes </w:t>
      </w:r>
    </w:p>
    <w:p w:rsidR="00E71CCF" w:rsidRPr="00B71F0A" w:rsidRDefault="00E71CCF" w:rsidP="00E71CCF">
      <w:pPr>
        <w:adjustRightInd w:val="0"/>
        <w:ind w:left="360"/>
        <w:rPr>
          <w:b/>
        </w:rPr>
      </w:pPr>
    </w:p>
    <w:p w:rsidR="00E71CCF" w:rsidRPr="00B71F0A" w:rsidRDefault="00E71CCF" w:rsidP="00E71CCF">
      <w:pPr>
        <w:adjustRightInd w:val="0"/>
        <w:ind w:left="360" w:right="1080"/>
        <w:jc w:val="both"/>
        <w:rPr>
          <w:b/>
        </w:rPr>
      </w:pPr>
      <w:r w:rsidRPr="00B71F0A">
        <w:t xml:space="preserve">PointBank may report information regarding your credit accounts with us to consumer reporting agencies and we make every effort to provide accurate information. </w:t>
      </w:r>
      <w:r w:rsidR="0057050D">
        <w:t xml:space="preserve"> </w:t>
      </w:r>
      <w:r w:rsidRPr="00B71F0A">
        <w:t>Please notify us if we report any inaccurate information about your account(s) to a consumer reporting agency.</w:t>
      </w:r>
      <w:r w:rsidR="0057050D">
        <w:t xml:space="preserve"> </w:t>
      </w:r>
      <w:r w:rsidRPr="00B71F0A">
        <w:t xml:space="preserve"> You should send your written notice describing the specific inaccuracy(ies) by mail to:</w:t>
      </w:r>
      <w:r w:rsidRPr="00B71F0A">
        <w:rPr>
          <w:b/>
        </w:rPr>
        <w:t xml:space="preserve"> </w:t>
      </w:r>
    </w:p>
    <w:p w:rsidR="00E71CCF" w:rsidRPr="00B71F0A" w:rsidRDefault="00E71CCF" w:rsidP="00E71CCF">
      <w:pPr>
        <w:ind w:left="360"/>
        <w:rPr>
          <w:b/>
          <w:highlight w:val="yellow"/>
        </w:rPr>
      </w:pPr>
    </w:p>
    <w:p w:rsidR="00E71CCF" w:rsidRPr="00B71F0A" w:rsidRDefault="00E71CCF" w:rsidP="00E71CCF">
      <w:pPr>
        <w:ind w:left="360"/>
      </w:pPr>
      <w:r w:rsidRPr="00B71F0A">
        <w:rPr>
          <w:b/>
        </w:rPr>
        <w:t xml:space="preserve">     </w:t>
      </w:r>
      <w:r w:rsidRPr="00B71F0A">
        <w:t>PointBank</w:t>
      </w:r>
    </w:p>
    <w:p w:rsidR="00E71CCF" w:rsidRPr="00B71F0A" w:rsidRDefault="00E71CCF" w:rsidP="00E71CCF">
      <w:pPr>
        <w:ind w:left="360"/>
      </w:pPr>
      <w:r w:rsidRPr="00B71F0A">
        <w:t xml:space="preserve">     Attn:  Loan Operations</w:t>
      </w:r>
      <w:r w:rsidR="002403FF">
        <w:rPr>
          <w:b/>
        </w:rPr>
        <w:t xml:space="preserve"> </w:t>
      </w:r>
    </w:p>
    <w:p w:rsidR="00E71CCF" w:rsidRPr="00B71F0A" w:rsidRDefault="00E71CCF" w:rsidP="00E71CCF">
      <w:pPr>
        <w:ind w:left="360"/>
      </w:pPr>
      <w:r w:rsidRPr="00B71F0A">
        <w:t xml:space="preserve">     400 Westway St </w:t>
      </w:r>
    </w:p>
    <w:p w:rsidR="00E71CCF" w:rsidRPr="00B71F0A" w:rsidRDefault="00E71CCF" w:rsidP="00E71CCF">
      <w:pPr>
        <w:ind w:left="360"/>
      </w:pPr>
      <w:r w:rsidRPr="00B71F0A">
        <w:t xml:space="preserve">     Denton, TX  76201-3027</w:t>
      </w:r>
    </w:p>
    <w:p w:rsidR="00E71CCF" w:rsidRPr="00B71F0A" w:rsidRDefault="00E71CCF" w:rsidP="00E71CCF">
      <w:pPr>
        <w:ind w:left="360"/>
      </w:pPr>
    </w:p>
    <w:p w:rsidR="00E71CCF" w:rsidRPr="00BF4A76" w:rsidRDefault="00E71CCF" w:rsidP="00E71CCF">
      <w:pPr>
        <w:rPr>
          <w:szCs w:val="24"/>
        </w:rPr>
      </w:pPr>
    </w:p>
    <w:sectPr w:rsidR="00E71CCF" w:rsidRPr="00BF4A76" w:rsidSect="00586D33">
      <w:type w:val="continuous"/>
      <w:pgSz w:w="12240" w:h="15840"/>
      <w:pgMar w:top="1080" w:right="108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066" w:rsidRDefault="00223066" w:rsidP="00F06978">
      <w:r>
        <w:separator/>
      </w:r>
    </w:p>
  </w:endnote>
  <w:endnote w:type="continuationSeparator" w:id="0">
    <w:p w:rsidR="00223066" w:rsidRDefault="00223066" w:rsidP="00F0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066" w:rsidRDefault="00223066" w:rsidP="00F06978">
      <w:r>
        <w:separator/>
      </w:r>
    </w:p>
  </w:footnote>
  <w:footnote w:type="continuationSeparator" w:id="0">
    <w:p w:rsidR="00223066" w:rsidRDefault="00223066" w:rsidP="00F06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alt="https://upload.wikimedia.org/wikipedia/commons/thumb/f/f7/Flag_of_Texas.svg/1200px-Flag_of_Texas.svg.png" style="width:900pt;height:600pt;visibility:visible;mso-wrap-style:square" o:bullet="t">
        <v:imagedata r:id="rId1" o:title="1200px-Flag_of_Texas"/>
      </v:shape>
    </w:pict>
  </w:numPicBullet>
  <w:abstractNum w:abstractNumId="0" w15:restartNumberingAfterBreak="0">
    <w:nsid w:val="1023439D"/>
    <w:multiLevelType w:val="hybridMultilevel"/>
    <w:tmpl w:val="3CCCB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9F5AF9"/>
    <w:multiLevelType w:val="hybridMultilevel"/>
    <w:tmpl w:val="BB6E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67A05"/>
    <w:multiLevelType w:val="hybridMultilevel"/>
    <w:tmpl w:val="CD4C9176"/>
    <w:lvl w:ilvl="0" w:tplc="BF28FB3A">
      <w:start w:val="1"/>
      <w:numFmt w:val="bullet"/>
      <w:lvlText w:val=""/>
      <w:lvlPicBulletId w:val="0"/>
      <w:lvlJc w:val="left"/>
      <w:pPr>
        <w:tabs>
          <w:tab w:val="num" w:pos="720"/>
        </w:tabs>
        <w:ind w:left="720" w:hanging="360"/>
      </w:pPr>
      <w:rPr>
        <w:rFonts w:ascii="Symbol" w:hAnsi="Symbol" w:hint="default"/>
      </w:rPr>
    </w:lvl>
    <w:lvl w:ilvl="1" w:tplc="69D45916" w:tentative="1">
      <w:start w:val="1"/>
      <w:numFmt w:val="bullet"/>
      <w:lvlText w:val=""/>
      <w:lvlJc w:val="left"/>
      <w:pPr>
        <w:tabs>
          <w:tab w:val="num" w:pos="1440"/>
        </w:tabs>
        <w:ind w:left="1440" w:hanging="360"/>
      </w:pPr>
      <w:rPr>
        <w:rFonts w:ascii="Symbol" w:hAnsi="Symbol" w:hint="default"/>
      </w:rPr>
    </w:lvl>
    <w:lvl w:ilvl="2" w:tplc="23BC3A74" w:tentative="1">
      <w:start w:val="1"/>
      <w:numFmt w:val="bullet"/>
      <w:lvlText w:val=""/>
      <w:lvlJc w:val="left"/>
      <w:pPr>
        <w:tabs>
          <w:tab w:val="num" w:pos="2160"/>
        </w:tabs>
        <w:ind w:left="2160" w:hanging="360"/>
      </w:pPr>
      <w:rPr>
        <w:rFonts w:ascii="Symbol" w:hAnsi="Symbol" w:hint="default"/>
      </w:rPr>
    </w:lvl>
    <w:lvl w:ilvl="3" w:tplc="F56E2500" w:tentative="1">
      <w:start w:val="1"/>
      <w:numFmt w:val="bullet"/>
      <w:lvlText w:val=""/>
      <w:lvlJc w:val="left"/>
      <w:pPr>
        <w:tabs>
          <w:tab w:val="num" w:pos="2880"/>
        </w:tabs>
        <w:ind w:left="2880" w:hanging="360"/>
      </w:pPr>
      <w:rPr>
        <w:rFonts w:ascii="Symbol" w:hAnsi="Symbol" w:hint="default"/>
      </w:rPr>
    </w:lvl>
    <w:lvl w:ilvl="4" w:tplc="EFA887DA" w:tentative="1">
      <w:start w:val="1"/>
      <w:numFmt w:val="bullet"/>
      <w:lvlText w:val=""/>
      <w:lvlJc w:val="left"/>
      <w:pPr>
        <w:tabs>
          <w:tab w:val="num" w:pos="3600"/>
        </w:tabs>
        <w:ind w:left="3600" w:hanging="360"/>
      </w:pPr>
      <w:rPr>
        <w:rFonts w:ascii="Symbol" w:hAnsi="Symbol" w:hint="default"/>
      </w:rPr>
    </w:lvl>
    <w:lvl w:ilvl="5" w:tplc="35A2184C" w:tentative="1">
      <w:start w:val="1"/>
      <w:numFmt w:val="bullet"/>
      <w:lvlText w:val=""/>
      <w:lvlJc w:val="left"/>
      <w:pPr>
        <w:tabs>
          <w:tab w:val="num" w:pos="4320"/>
        </w:tabs>
        <w:ind w:left="4320" w:hanging="360"/>
      </w:pPr>
      <w:rPr>
        <w:rFonts w:ascii="Symbol" w:hAnsi="Symbol" w:hint="default"/>
      </w:rPr>
    </w:lvl>
    <w:lvl w:ilvl="6" w:tplc="8488C008" w:tentative="1">
      <w:start w:val="1"/>
      <w:numFmt w:val="bullet"/>
      <w:lvlText w:val=""/>
      <w:lvlJc w:val="left"/>
      <w:pPr>
        <w:tabs>
          <w:tab w:val="num" w:pos="5040"/>
        </w:tabs>
        <w:ind w:left="5040" w:hanging="360"/>
      </w:pPr>
      <w:rPr>
        <w:rFonts w:ascii="Symbol" w:hAnsi="Symbol" w:hint="default"/>
      </w:rPr>
    </w:lvl>
    <w:lvl w:ilvl="7" w:tplc="A258AAD6" w:tentative="1">
      <w:start w:val="1"/>
      <w:numFmt w:val="bullet"/>
      <w:lvlText w:val=""/>
      <w:lvlJc w:val="left"/>
      <w:pPr>
        <w:tabs>
          <w:tab w:val="num" w:pos="5760"/>
        </w:tabs>
        <w:ind w:left="5760" w:hanging="360"/>
      </w:pPr>
      <w:rPr>
        <w:rFonts w:ascii="Symbol" w:hAnsi="Symbol" w:hint="default"/>
      </w:rPr>
    </w:lvl>
    <w:lvl w:ilvl="8" w:tplc="6BDEACA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6152CF7"/>
    <w:multiLevelType w:val="hybridMultilevel"/>
    <w:tmpl w:val="92FA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1649E"/>
    <w:multiLevelType w:val="hybridMultilevel"/>
    <w:tmpl w:val="9E2C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5137"/>
    <w:multiLevelType w:val="hybridMultilevel"/>
    <w:tmpl w:val="F09C2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34"/>
    <w:rsid w:val="0000520C"/>
    <w:rsid w:val="00011C4A"/>
    <w:rsid w:val="00037421"/>
    <w:rsid w:val="00061B59"/>
    <w:rsid w:val="00063874"/>
    <w:rsid w:val="000A0E61"/>
    <w:rsid w:val="000E127F"/>
    <w:rsid w:val="000F4BBC"/>
    <w:rsid w:val="00115E74"/>
    <w:rsid w:val="001F675D"/>
    <w:rsid w:val="0020792F"/>
    <w:rsid w:val="00223066"/>
    <w:rsid w:val="002403FF"/>
    <w:rsid w:val="00251738"/>
    <w:rsid w:val="00273430"/>
    <w:rsid w:val="002E6734"/>
    <w:rsid w:val="002F768D"/>
    <w:rsid w:val="0031612E"/>
    <w:rsid w:val="00345EF9"/>
    <w:rsid w:val="0036776E"/>
    <w:rsid w:val="003C1588"/>
    <w:rsid w:val="003E5A17"/>
    <w:rsid w:val="00417F70"/>
    <w:rsid w:val="004414F8"/>
    <w:rsid w:val="004471AD"/>
    <w:rsid w:val="00461C9D"/>
    <w:rsid w:val="004B4BCD"/>
    <w:rsid w:val="004F0ADE"/>
    <w:rsid w:val="004F0C09"/>
    <w:rsid w:val="00507C28"/>
    <w:rsid w:val="00536A4D"/>
    <w:rsid w:val="00556758"/>
    <w:rsid w:val="0057050D"/>
    <w:rsid w:val="00586D33"/>
    <w:rsid w:val="005B0309"/>
    <w:rsid w:val="005D1E30"/>
    <w:rsid w:val="005F1099"/>
    <w:rsid w:val="005F18FF"/>
    <w:rsid w:val="005F2CB2"/>
    <w:rsid w:val="00606D30"/>
    <w:rsid w:val="00616278"/>
    <w:rsid w:val="00617AF8"/>
    <w:rsid w:val="00620153"/>
    <w:rsid w:val="00656C49"/>
    <w:rsid w:val="00670DAB"/>
    <w:rsid w:val="006C4A1D"/>
    <w:rsid w:val="006D096E"/>
    <w:rsid w:val="006F022D"/>
    <w:rsid w:val="00712337"/>
    <w:rsid w:val="00723F9F"/>
    <w:rsid w:val="0075179C"/>
    <w:rsid w:val="007652CE"/>
    <w:rsid w:val="00774820"/>
    <w:rsid w:val="00794356"/>
    <w:rsid w:val="007D5DD6"/>
    <w:rsid w:val="007E7874"/>
    <w:rsid w:val="007F1B6B"/>
    <w:rsid w:val="0083540F"/>
    <w:rsid w:val="008A67E7"/>
    <w:rsid w:val="008B5A79"/>
    <w:rsid w:val="008C3096"/>
    <w:rsid w:val="008F7715"/>
    <w:rsid w:val="009607E2"/>
    <w:rsid w:val="009675F5"/>
    <w:rsid w:val="00973412"/>
    <w:rsid w:val="009877AD"/>
    <w:rsid w:val="009F3049"/>
    <w:rsid w:val="009F76B3"/>
    <w:rsid w:val="00A042D0"/>
    <w:rsid w:val="00A17468"/>
    <w:rsid w:val="00A24A34"/>
    <w:rsid w:val="00A321B5"/>
    <w:rsid w:val="00A76DEE"/>
    <w:rsid w:val="00A777D0"/>
    <w:rsid w:val="00A87307"/>
    <w:rsid w:val="00AB3ECD"/>
    <w:rsid w:val="00AF4FD8"/>
    <w:rsid w:val="00B31ECE"/>
    <w:rsid w:val="00B41030"/>
    <w:rsid w:val="00B44353"/>
    <w:rsid w:val="00B611C9"/>
    <w:rsid w:val="00B631C4"/>
    <w:rsid w:val="00B74B3D"/>
    <w:rsid w:val="00B84EB7"/>
    <w:rsid w:val="00BF19EB"/>
    <w:rsid w:val="00BF4A76"/>
    <w:rsid w:val="00C10DA9"/>
    <w:rsid w:val="00C11E2D"/>
    <w:rsid w:val="00C41CF4"/>
    <w:rsid w:val="00C52F49"/>
    <w:rsid w:val="00C800B7"/>
    <w:rsid w:val="00CE0745"/>
    <w:rsid w:val="00CF0324"/>
    <w:rsid w:val="00CF34A7"/>
    <w:rsid w:val="00D27FFB"/>
    <w:rsid w:val="00D52B51"/>
    <w:rsid w:val="00D57CEA"/>
    <w:rsid w:val="00D74AF2"/>
    <w:rsid w:val="00D93DF3"/>
    <w:rsid w:val="00DB04B6"/>
    <w:rsid w:val="00DE0FDB"/>
    <w:rsid w:val="00DF5ABB"/>
    <w:rsid w:val="00E14098"/>
    <w:rsid w:val="00E2674F"/>
    <w:rsid w:val="00E5552C"/>
    <w:rsid w:val="00E57B2E"/>
    <w:rsid w:val="00E634E6"/>
    <w:rsid w:val="00E64A13"/>
    <w:rsid w:val="00E71CCF"/>
    <w:rsid w:val="00F06978"/>
    <w:rsid w:val="00F26410"/>
    <w:rsid w:val="00F473B5"/>
    <w:rsid w:val="00F81394"/>
    <w:rsid w:val="00FA311A"/>
    <w:rsid w:val="00FA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7B7479E-D330-48D9-8410-91F0E161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DD6"/>
    <w:rPr>
      <w:rFonts w:ascii="Georgia" w:hAnsi="Georgia"/>
      <w:sz w:val="24"/>
    </w:rPr>
  </w:style>
  <w:style w:type="paragraph" w:styleId="Heading1">
    <w:name w:val="heading 1"/>
    <w:basedOn w:val="Normal"/>
    <w:next w:val="Normal"/>
    <w:link w:val="Heading1Char"/>
    <w:uiPriority w:val="9"/>
    <w:qFormat/>
    <w:rsid w:val="00F0697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55675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7E7"/>
    <w:pPr>
      <w:ind w:left="720"/>
      <w:contextualSpacing/>
    </w:pPr>
  </w:style>
  <w:style w:type="character" w:styleId="Hyperlink">
    <w:name w:val="Hyperlink"/>
    <w:basedOn w:val="DefaultParagraphFont"/>
    <w:uiPriority w:val="99"/>
    <w:unhideWhenUsed/>
    <w:rsid w:val="005F18FF"/>
    <w:rPr>
      <w:color w:val="0563C1" w:themeColor="hyperlink"/>
      <w:u w:val="single"/>
    </w:rPr>
  </w:style>
  <w:style w:type="character" w:customStyle="1" w:styleId="Heading1Char">
    <w:name w:val="Heading 1 Char"/>
    <w:basedOn w:val="DefaultParagraphFont"/>
    <w:link w:val="Heading1"/>
    <w:uiPriority w:val="9"/>
    <w:rsid w:val="00F0697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F06978"/>
    <w:pPr>
      <w:spacing w:before="100" w:beforeAutospacing="1" w:after="100" w:afterAutospacing="1"/>
      <w:ind w:firstLine="480"/>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F06978"/>
    <w:rPr>
      <w:sz w:val="20"/>
      <w:szCs w:val="20"/>
    </w:rPr>
  </w:style>
  <w:style w:type="character" w:customStyle="1" w:styleId="FootnoteTextChar">
    <w:name w:val="Footnote Text Char"/>
    <w:basedOn w:val="DefaultParagraphFont"/>
    <w:link w:val="FootnoteText"/>
    <w:uiPriority w:val="99"/>
    <w:semiHidden/>
    <w:rsid w:val="00F06978"/>
    <w:rPr>
      <w:rFonts w:ascii="Georgia" w:hAnsi="Georgia"/>
      <w:sz w:val="20"/>
      <w:szCs w:val="20"/>
    </w:rPr>
  </w:style>
  <w:style w:type="character" w:styleId="FootnoteReference">
    <w:name w:val="footnote reference"/>
    <w:basedOn w:val="DefaultParagraphFont"/>
    <w:uiPriority w:val="99"/>
    <w:semiHidden/>
    <w:unhideWhenUsed/>
    <w:rsid w:val="00F06978"/>
    <w:rPr>
      <w:vertAlign w:val="superscript"/>
    </w:rPr>
  </w:style>
  <w:style w:type="character" w:customStyle="1" w:styleId="Heading3Char">
    <w:name w:val="Heading 3 Char"/>
    <w:basedOn w:val="DefaultParagraphFont"/>
    <w:link w:val="Heading3"/>
    <w:uiPriority w:val="9"/>
    <w:semiHidden/>
    <w:rsid w:val="00556758"/>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5B0309"/>
    <w:rPr>
      <w:b/>
      <w:bCs/>
    </w:rPr>
  </w:style>
  <w:style w:type="character" w:styleId="Emphasis">
    <w:name w:val="Emphasis"/>
    <w:basedOn w:val="DefaultParagraphFont"/>
    <w:uiPriority w:val="20"/>
    <w:qFormat/>
    <w:rsid w:val="00BF19EB"/>
    <w:rPr>
      <w:i/>
      <w:iCs/>
    </w:rPr>
  </w:style>
  <w:style w:type="character" w:styleId="FollowedHyperlink">
    <w:name w:val="FollowedHyperlink"/>
    <w:basedOn w:val="DefaultParagraphFont"/>
    <w:uiPriority w:val="99"/>
    <w:semiHidden/>
    <w:unhideWhenUsed/>
    <w:rsid w:val="00774820"/>
    <w:rPr>
      <w:color w:val="954F72" w:themeColor="followedHyperlink"/>
      <w:u w:val="single"/>
    </w:rPr>
  </w:style>
  <w:style w:type="paragraph" w:customStyle="1" w:styleId="hd2-paragraph">
    <w:name w:val="hd2-paragraph"/>
    <w:basedOn w:val="Normal"/>
    <w:rsid w:val="00F473B5"/>
    <w:pPr>
      <w:spacing w:before="100" w:beforeAutospacing="1" w:after="100" w:afterAutospacing="1"/>
    </w:pPr>
    <w:rPr>
      <w:rFonts w:ascii="Times New Roman" w:eastAsia="Times New Roman" w:hAnsi="Times New Roman" w:cs="Times New Roman"/>
      <w:szCs w:val="24"/>
    </w:rPr>
  </w:style>
  <w:style w:type="paragraph" w:styleId="NoSpacing">
    <w:name w:val="No Spacing"/>
    <w:uiPriority w:val="1"/>
    <w:qFormat/>
    <w:rsid w:val="00D57CEA"/>
    <w:pPr>
      <w:widowControl w:val="0"/>
      <w:autoSpaceDE w:val="0"/>
      <w:autoSpaceDN w:val="0"/>
    </w:pPr>
    <w:rPr>
      <w:rFonts w:ascii="Arial" w:eastAsia="Arial" w:hAnsi="Arial" w:cs="Arial"/>
    </w:rPr>
  </w:style>
  <w:style w:type="paragraph" w:customStyle="1" w:styleId="regdown-block">
    <w:name w:val="regdown-block"/>
    <w:basedOn w:val="Normal"/>
    <w:rsid w:val="0057050D"/>
    <w:pPr>
      <w:spacing w:before="100" w:beforeAutospacing="1" w:after="100" w:afterAutospacing="1"/>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F10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86872">
      <w:bodyDiv w:val="1"/>
      <w:marLeft w:val="0"/>
      <w:marRight w:val="0"/>
      <w:marTop w:val="0"/>
      <w:marBottom w:val="0"/>
      <w:divBdr>
        <w:top w:val="none" w:sz="0" w:space="0" w:color="auto"/>
        <w:left w:val="none" w:sz="0" w:space="0" w:color="auto"/>
        <w:bottom w:val="none" w:sz="0" w:space="0" w:color="auto"/>
        <w:right w:val="none" w:sz="0" w:space="0" w:color="auto"/>
      </w:divBdr>
      <w:divsChild>
        <w:div w:id="356975117">
          <w:marLeft w:val="240"/>
          <w:marRight w:val="0"/>
          <w:marTop w:val="60"/>
          <w:marBottom w:val="60"/>
          <w:divBdr>
            <w:top w:val="none" w:sz="0" w:space="0" w:color="auto"/>
            <w:left w:val="none" w:sz="0" w:space="0" w:color="auto"/>
            <w:bottom w:val="none" w:sz="0" w:space="0" w:color="auto"/>
            <w:right w:val="none" w:sz="0" w:space="0" w:color="auto"/>
          </w:divBdr>
          <w:divsChild>
            <w:div w:id="1195927803">
              <w:marLeft w:val="240"/>
              <w:marRight w:val="0"/>
              <w:marTop w:val="60"/>
              <w:marBottom w:val="60"/>
              <w:divBdr>
                <w:top w:val="none" w:sz="0" w:space="0" w:color="auto"/>
                <w:left w:val="none" w:sz="0" w:space="0" w:color="auto"/>
                <w:bottom w:val="none" w:sz="0" w:space="0" w:color="auto"/>
                <w:right w:val="none" w:sz="0" w:space="0" w:color="auto"/>
              </w:divBdr>
              <w:divsChild>
                <w:div w:id="1512334718">
                  <w:marLeft w:val="0"/>
                  <w:marRight w:val="0"/>
                  <w:marTop w:val="0"/>
                  <w:marBottom w:val="0"/>
                  <w:divBdr>
                    <w:top w:val="none" w:sz="0" w:space="0" w:color="auto"/>
                    <w:left w:val="none" w:sz="0" w:space="0" w:color="auto"/>
                    <w:bottom w:val="none" w:sz="0" w:space="0" w:color="auto"/>
                    <w:right w:val="none" w:sz="0" w:space="0" w:color="auto"/>
                  </w:divBdr>
                </w:div>
              </w:divsChild>
            </w:div>
            <w:div w:id="1854957222">
              <w:marLeft w:val="240"/>
              <w:marRight w:val="0"/>
              <w:marTop w:val="60"/>
              <w:marBottom w:val="60"/>
              <w:divBdr>
                <w:top w:val="none" w:sz="0" w:space="0" w:color="auto"/>
                <w:left w:val="none" w:sz="0" w:space="0" w:color="auto"/>
                <w:bottom w:val="none" w:sz="0" w:space="0" w:color="auto"/>
                <w:right w:val="none" w:sz="0" w:space="0" w:color="auto"/>
              </w:divBdr>
              <w:divsChild>
                <w:div w:id="20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5155">
          <w:marLeft w:val="240"/>
          <w:marRight w:val="0"/>
          <w:marTop w:val="60"/>
          <w:marBottom w:val="60"/>
          <w:divBdr>
            <w:top w:val="none" w:sz="0" w:space="0" w:color="auto"/>
            <w:left w:val="none" w:sz="0" w:space="0" w:color="auto"/>
            <w:bottom w:val="none" w:sz="0" w:space="0" w:color="auto"/>
            <w:right w:val="none" w:sz="0" w:space="0" w:color="auto"/>
          </w:divBdr>
          <w:divsChild>
            <w:div w:id="10986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8149">
      <w:bodyDiv w:val="1"/>
      <w:marLeft w:val="0"/>
      <w:marRight w:val="0"/>
      <w:marTop w:val="0"/>
      <w:marBottom w:val="0"/>
      <w:divBdr>
        <w:top w:val="none" w:sz="0" w:space="0" w:color="auto"/>
        <w:left w:val="none" w:sz="0" w:space="0" w:color="auto"/>
        <w:bottom w:val="none" w:sz="0" w:space="0" w:color="auto"/>
        <w:right w:val="none" w:sz="0" w:space="0" w:color="auto"/>
      </w:divBdr>
    </w:div>
    <w:div w:id="796024398">
      <w:bodyDiv w:val="1"/>
      <w:marLeft w:val="0"/>
      <w:marRight w:val="0"/>
      <w:marTop w:val="0"/>
      <w:marBottom w:val="0"/>
      <w:divBdr>
        <w:top w:val="none" w:sz="0" w:space="0" w:color="auto"/>
        <w:left w:val="none" w:sz="0" w:space="0" w:color="auto"/>
        <w:bottom w:val="none" w:sz="0" w:space="0" w:color="auto"/>
        <w:right w:val="none" w:sz="0" w:space="0" w:color="auto"/>
      </w:divBdr>
    </w:div>
    <w:div w:id="1023165279">
      <w:bodyDiv w:val="1"/>
      <w:marLeft w:val="0"/>
      <w:marRight w:val="0"/>
      <w:marTop w:val="0"/>
      <w:marBottom w:val="0"/>
      <w:divBdr>
        <w:top w:val="none" w:sz="0" w:space="0" w:color="auto"/>
        <w:left w:val="none" w:sz="0" w:space="0" w:color="auto"/>
        <w:bottom w:val="none" w:sz="0" w:space="0" w:color="auto"/>
        <w:right w:val="none" w:sz="0" w:space="0" w:color="auto"/>
      </w:divBdr>
      <w:divsChild>
        <w:div w:id="228852840">
          <w:marLeft w:val="240"/>
          <w:marRight w:val="0"/>
          <w:marTop w:val="60"/>
          <w:marBottom w:val="60"/>
          <w:divBdr>
            <w:top w:val="none" w:sz="0" w:space="0" w:color="auto"/>
            <w:left w:val="none" w:sz="0" w:space="0" w:color="auto"/>
            <w:bottom w:val="none" w:sz="0" w:space="0" w:color="auto"/>
            <w:right w:val="none" w:sz="0" w:space="0" w:color="auto"/>
          </w:divBdr>
          <w:divsChild>
            <w:div w:id="1808087707">
              <w:marLeft w:val="240"/>
              <w:marRight w:val="0"/>
              <w:marTop w:val="60"/>
              <w:marBottom w:val="60"/>
              <w:divBdr>
                <w:top w:val="none" w:sz="0" w:space="0" w:color="auto"/>
                <w:left w:val="none" w:sz="0" w:space="0" w:color="auto"/>
                <w:bottom w:val="none" w:sz="0" w:space="0" w:color="auto"/>
                <w:right w:val="none" w:sz="0" w:space="0" w:color="auto"/>
              </w:divBdr>
              <w:divsChild>
                <w:div w:id="267201492">
                  <w:marLeft w:val="0"/>
                  <w:marRight w:val="0"/>
                  <w:marTop w:val="0"/>
                  <w:marBottom w:val="0"/>
                  <w:divBdr>
                    <w:top w:val="none" w:sz="0" w:space="0" w:color="auto"/>
                    <w:left w:val="none" w:sz="0" w:space="0" w:color="auto"/>
                    <w:bottom w:val="none" w:sz="0" w:space="0" w:color="auto"/>
                    <w:right w:val="none" w:sz="0" w:space="0" w:color="auto"/>
                  </w:divBdr>
                </w:div>
              </w:divsChild>
            </w:div>
            <w:div w:id="415367932">
              <w:marLeft w:val="240"/>
              <w:marRight w:val="0"/>
              <w:marTop w:val="60"/>
              <w:marBottom w:val="60"/>
              <w:divBdr>
                <w:top w:val="none" w:sz="0" w:space="0" w:color="auto"/>
                <w:left w:val="none" w:sz="0" w:space="0" w:color="auto"/>
                <w:bottom w:val="none" w:sz="0" w:space="0" w:color="auto"/>
                <w:right w:val="none" w:sz="0" w:space="0" w:color="auto"/>
              </w:divBdr>
              <w:divsChild>
                <w:div w:id="15736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9568">
          <w:marLeft w:val="240"/>
          <w:marRight w:val="0"/>
          <w:marTop w:val="60"/>
          <w:marBottom w:val="60"/>
          <w:divBdr>
            <w:top w:val="none" w:sz="0" w:space="0" w:color="auto"/>
            <w:left w:val="none" w:sz="0" w:space="0" w:color="auto"/>
            <w:bottom w:val="none" w:sz="0" w:space="0" w:color="auto"/>
            <w:right w:val="none" w:sz="0" w:space="0" w:color="auto"/>
          </w:divBdr>
          <w:divsChild>
            <w:div w:id="1256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9170">
      <w:bodyDiv w:val="1"/>
      <w:marLeft w:val="0"/>
      <w:marRight w:val="0"/>
      <w:marTop w:val="0"/>
      <w:marBottom w:val="0"/>
      <w:divBdr>
        <w:top w:val="none" w:sz="0" w:space="0" w:color="auto"/>
        <w:left w:val="none" w:sz="0" w:space="0" w:color="auto"/>
        <w:bottom w:val="none" w:sz="0" w:space="0" w:color="auto"/>
        <w:right w:val="none" w:sz="0" w:space="0" w:color="auto"/>
      </w:divBdr>
    </w:div>
    <w:div w:id="1814060282">
      <w:bodyDiv w:val="1"/>
      <w:marLeft w:val="0"/>
      <w:marRight w:val="0"/>
      <w:marTop w:val="0"/>
      <w:marBottom w:val="0"/>
      <w:divBdr>
        <w:top w:val="none" w:sz="0" w:space="0" w:color="auto"/>
        <w:left w:val="none" w:sz="0" w:space="0" w:color="auto"/>
        <w:bottom w:val="none" w:sz="0" w:space="0" w:color="auto"/>
        <w:right w:val="none" w:sz="0" w:space="0" w:color="auto"/>
      </w:divBdr>
    </w:div>
    <w:div w:id="1832058921">
      <w:bodyDiv w:val="1"/>
      <w:marLeft w:val="0"/>
      <w:marRight w:val="0"/>
      <w:marTop w:val="0"/>
      <w:marBottom w:val="0"/>
      <w:divBdr>
        <w:top w:val="none" w:sz="0" w:space="0" w:color="auto"/>
        <w:left w:val="none" w:sz="0" w:space="0" w:color="auto"/>
        <w:bottom w:val="none" w:sz="0" w:space="0" w:color="auto"/>
        <w:right w:val="none" w:sz="0" w:space="0" w:color="auto"/>
      </w:divBdr>
    </w:div>
    <w:div w:id="183534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04e4dbf488084f3f270b8f3f469048be&amp;mc=true&amp;node=pt12.3.228&amp;rgn=div5" TargetMode="External"/><Relationship Id="rId13" Type="http://schemas.openxmlformats.org/officeDocument/2006/relationships/image" Target="media/image3.png"/><Relationship Id="rId18" Type="http://schemas.openxmlformats.org/officeDocument/2006/relationships/hyperlink" Target="https://www.consumerfinance.gov/rules-policy/regulations/1003/5/" TargetMode="External"/><Relationship Id="rId26" Type="http://schemas.openxmlformats.org/officeDocument/2006/relationships/hyperlink" Target="https://statutes.capitol.texas.gov/Docs/BC/htm/BC.26.htm" TargetMode="Externa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hyperlink" Target="https://www.consumerfinance.gov/rules-policy/regulations/1022/43/" TargetMode="External"/><Relationship Id="rId7" Type="http://schemas.openxmlformats.org/officeDocument/2006/relationships/image" Target="media/image2.jpeg"/><Relationship Id="rId12" Type="http://schemas.openxmlformats.org/officeDocument/2006/relationships/hyperlink" Target="https://www.fdic.gov/regulations/laws/rules/2000-5200.html" TargetMode="External"/><Relationship Id="rId17" Type="http://schemas.openxmlformats.org/officeDocument/2006/relationships/hyperlink" Target="https://www.ecfr.gov/current/title-12/chapter-II/subchapter-A/part-229" TargetMode="External"/><Relationship Id="rId25" Type="http://schemas.openxmlformats.org/officeDocument/2006/relationships/image" Target="media/image5.jpeg"/><Relationship Id="rId33" Type="http://schemas.openxmlformats.org/officeDocument/2006/relationships/hyperlink" Target="https://www.consumerfinance.gov/rules-policy/regulations/1005/11/" TargetMode="External"/><Relationship Id="rId2" Type="http://schemas.openxmlformats.org/officeDocument/2006/relationships/styles" Target="styles.xml"/><Relationship Id="rId16" Type="http://schemas.openxmlformats.org/officeDocument/2006/relationships/hyperlink" Target="https://www.ecfr.gov/current/title-12/chapter-II/subchapter-A/part-229" TargetMode="External"/><Relationship Id="rId20" Type="http://schemas.openxmlformats.org/officeDocument/2006/relationships/hyperlink" Target="https://www.consumerfinance.gov/rules-policy/regulations/1003/interp-5/" TargetMode="External"/><Relationship Id="rId29" Type="http://schemas.openxmlformats.org/officeDocument/2006/relationships/hyperlink" Target="mailto:consumer.complaints@dob.texa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ic.gov/regulations/laws/rules/2000-5200.html" TargetMode="External"/><Relationship Id="rId24" Type="http://schemas.openxmlformats.org/officeDocument/2006/relationships/hyperlink" Target="https://statutes.capitol.texas.gov/Docs/BC/htm/BC.26.htm" TargetMode="External"/><Relationship Id="rId32" Type="http://schemas.openxmlformats.org/officeDocument/2006/relationships/hyperlink" Target="https://www.consumerfinance.gov/rules-policy/regulations/1005/6/" TargetMode="External"/><Relationship Id="rId5" Type="http://schemas.openxmlformats.org/officeDocument/2006/relationships/footnotes" Target="footnotes.xml"/><Relationship Id="rId15" Type="http://schemas.openxmlformats.org/officeDocument/2006/relationships/hyperlink" Target="https://www.ecfr.gov/current/title-12/chapter-II/subchapter-A/part-229" TargetMode="External"/><Relationship Id="rId23" Type="http://schemas.openxmlformats.org/officeDocument/2006/relationships/hyperlink" Target="https://texreg.sos.state.tx.us/public/readtac$ext.TacPage?sl=R&amp;app=9&amp;p_dir=&amp;p_rloc=&amp;p_tloc=&amp;p_ploc=&amp;pg=1&amp;p_tac=&amp;ti=7&amp;pt=1&amp;ch=3&amp;rl=34" TargetMode="External"/><Relationship Id="rId28" Type="http://schemas.openxmlformats.org/officeDocument/2006/relationships/hyperlink" Target="http://www.pointbank.com/locations" TargetMode="External"/><Relationship Id="rId36" Type="http://schemas.openxmlformats.org/officeDocument/2006/relationships/theme" Target="theme/theme1.xml"/><Relationship Id="rId10" Type="http://schemas.openxmlformats.org/officeDocument/2006/relationships/hyperlink" Target="https://www.ecfr.gov/current/title-31/subtitle-B/chapter-X/part-1020/subpart-B/section-1020.220" TargetMode="External"/><Relationship Id="rId19" Type="http://schemas.openxmlformats.org/officeDocument/2006/relationships/hyperlink" Target="http://www.consumerfinance.gov/hmda" TargetMode="External"/><Relationship Id="rId31" Type="http://schemas.openxmlformats.org/officeDocument/2006/relationships/hyperlink" Target="https://www.consumerfinance.gov/rules-policy/regulations/1022/43/" TargetMode="External"/><Relationship Id="rId4" Type="http://schemas.openxmlformats.org/officeDocument/2006/relationships/webSettings" Target="webSettings.xml"/><Relationship Id="rId9" Type="http://schemas.openxmlformats.org/officeDocument/2006/relationships/hyperlink" Target="https://www.ecfr.gov/cgi-bin/text-idx?SID=04e4dbf488084f3f270b8f3f469048be&amp;mc=true&amp;node=pt12.3.228&amp;rgn=div5" TargetMode="External"/><Relationship Id="rId14" Type="http://schemas.microsoft.com/office/2007/relationships/hdphoto" Target="media/hdphoto1.wdp"/><Relationship Id="rId22" Type="http://schemas.openxmlformats.org/officeDocument/2006/relationships/hyperlink" Target="https://texreg.sos.state.tx.us/public/readtac$ext.TacPage?sl=R&amp;app=9&amp;p_dir=&amp;p_rloc=&amp;p_tloc=&amp;p_ploc=&amp;pg=1&amp;p_tac=&amp;ti=7&amp;pt=1&amp;ch=3&amp;rl=21" TargetMode="External"/><Relationship Id="rId27" Type="http://schemas.openxmlformats.org/officeDocument/2006/relationships/hyperlink" Target="https://texreg.sos.state.tx.us/public/readtac$ext.TacPage?sl=R&amp;app=9&amp;p_dir=&amp;p_rloc=&amp;p_tloc=&amp;p_ploc=&amp;pg=1&amp;p_tac=&amp;ti=7&amp;pt=2&amp;ch=11&amp;rl=37" TargetMode="External"/><Relationship Id="rId30" Type="http://schemas.openxmlformats.org/officeDocument/2006/relationships/hyperlink" Target="http://www.dob.texas.gov/"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3175</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Cockrell</dc:creator>
  <cp:keywords/>
  <dc:description/>
  <cp:lastModifiedBy>Mike Cockrell</cp:lastModifiedBy>
  <cp:revision>5</cp:revision>
  <cp:lastPrinted>2021-10-06T23:28:00Z</cp:lastPrinted>
  <dcterms:created xsi:type="dcterms:W3CDTF">2021-10-13T22:01:00Z</dcterms:created>
  <dcterms:modified xsi:type="dcterms:W3CDTF">2021-11-12T17:25:00Z</dcterms:modified>
</cp:coreProperties>
</file>