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Y="-100"/>
        <w:tblW w:w="5019" w:type="pct"/>
        <w:tblCellMar>
          <w:top w:w="144" w:type="dxa"/>
          <w:left w:w="115" w:type="dxa"/>
          <w:bottom w:w="144" w:type="dxa"/>
          <w:right w:w="115" w:type="dxa"/>
        </w:tblCellMar>
        <w:tblLook w:val="04A0" w:firstRow="1" w:lastRow="0" w:firstColumn="1" w:lastColumn="0" w:noHBand="0" w:noVBand="1"/>
      </w:tblPr>
      <w:tblGrid>
        <w:gridCol w:w="4892"/>
        <w:gridCol w:w="4504"/>
      </w:tblGrid>
      <w:tr w:rsidR="0069440A" w:rsidRPr="00DF5899" w14:paraId="03DAEF52" w14:textId="77777777" w:rsidTr="00052879">
        <w:trPr>
          <w:trHeight w:val="733"/>
        </w:trPr>
        <w:tc>
          <w:tcPr>
            <w:tcW w:w="2603" w:type="pct"/>
            <w:hideMark/>
          </w:tcPr>
          <w:p w14:paraId="16882173" w14:textId="77777777" w:rsidR="0069440A" w:rsidRPr="00DF5899" w:rsidRDefault="0069440A" w:rsidP="00052879">
            <w:pPr>
              <w:spacing w:after="0"/>
              <w:jc w:val="both"/>
              <w:rPr>
                <w:rFonts w:ascii="Arial Narrow" w:hAnsi="Arial Narrow"/>
                <w:b/>
                <w:sz w:val="24"/>
                <w:szCs w:val="24"/>
              </w:rPr>
            </w:pPr>
            <w:r w:rsidRPr="00DF5899">
              <w:rPr>
                <w:rFonts w:ascii="Arial Narrow" w:hAnsi="Arial Narrow"/>
                <w:b/>
                <w:noProof/>
                <w:color w:val="218649"/>
              </w:rPr>
              <mc:AlternateContent>
                <mc:Choice Requires="wps">
                  <w:drawing>
                    <wp:anchor distT="4294967295" distB="4294967295" distL="114300" distR="114300" simplePos="0" relativeHeight="251660288" behindDoc="0" locked="0" layoutInCell="1" allowOverlap="1" wp14:anchorId="2C341FF7" wp14:editId="66BB1E3F">
                      <wp:simplePos x="0" y="0"/>
                      <wp:positionH relativeFrom="column">
                        <wp:posOffset>-45085</wp:posOffset>
                      </wp:positionH>
                      <wp:positionV relativeFrom="paragraph">
                        <wp:posOffset>1045844</wp:posOffset>
                      </wp:positionV>
                      <wp:extent cx="5986780" cy="0"/>
                      <wp:effectExtent l="0" t="0" r="13970" b="19050"/>
                      <wp:wrapNone/>
                      <wp:docPr id="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C66DA0" id="_x0000_t32" coordsize="21600,21600" o:spt="32" o:oned="t" path="m,l21600,21600e" filled="f">
                      <v:path arrowok="t" fillok="f" o:connecttype="none"/>
                      <o:lock v:ext="edit" shapetype="t"/>
                    </v:shapetype>
                    <v:shape id="Straight Arrow Connector 4" o:spid="_x0000_s1026" type="#_x0000_t32" style="position:absolute;margin-left:-3.55pt;margin-top:82.35pt;width:471.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"/>
                  </w:pict>
                </mc:Fallback>
              </mc:AlternateContent>
            </w:r>
            <w:r w:rsidRPr="00DF5899">
              <w:rPr>
                <w:rFonts w:ascii="Arial Narrow" w:hAnsi="Arial Narrow"/>
                <w:b/>
                <w:noProof/>
                <w:color w:val="218649"/>
              </w:rPr>
              <w:drawing>
                <wp:anchor distT="0" distB="0" distL="114300" distR="114300" simplePos="0" relativeHeight="251659264" behindDoc="0" locked="0" layoutInCell="1" allowOverlap="1" wp14:anchorId="338436B9" wp14:editId="723416E5">
                  <wp:simplePos x="0" y="0"/>
                  <wp:positionH relativeFrom="column">
                    <wp:posOffset>0</wp:posOffset>
                  </wp:positionH>
                  <wp:positionV relativeFrom="paragraph">
                    <wp:posOffset>-23495</wp:posOffset>
                  </wp:positionV>
                  <wp:extent cx="571500" cy="571500"/>
                  <wp:effectExtent l="0" t="0" r="0" b="0"/>
                  <wp:wrapNone/>
                  <wp:docPr id="2" name="Picture 2" descr="Description: CA_Logo-Sq-Color-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A_Logo-Sq-Color-X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97" w:type="pct"/>
            <w:vAlign w:val="center"/>
          </w:tcPr>
          <w:p w14:paraId="7F77EA9A" w14:textId="77777777" w:rsidR="0069440A" w:rsidRPr="00DF5899" w:rsidRDefault="0069440A" w:rsidP="00052879">
            <w:pPr>
              <w:spacing w:line="240" w:lineRule="auto"/>
              <w:rPr>
                <w:rFonts w:ascii="Arial Narrow" w:hAnsi="Arial Narrow"/>
                <w:b/>
                <w:sz w:val="24"/>
                <w:szCs w:val="24"/>
              </w:rPr>
            </w:pPr>
          </w:p>
          <w:p w14:paraId="36700E22" w14:textId="77777777" w:rsidR="0069440A" w:rsidRPr="00DF5899" w:rsidRDefault="0069440A" w:rsidP="00052879">
            <w:pPr>
              <w:spacing w:line="240" w:lineRule="auto"/>
              <w:rPr>
                <w:rFonts w:ascii="Arial Narrow" w:hAnsi="Arial Narrow"/>
                <w:b/>
                <w:sz w:val="24"/>
                <w:szCs w:val="24"/>
              </w:rPr>
            </w:pPr>
            <w:r w:rsidRPr="00DF5899">
              <w:rPr>
                <w:rFonts w:ascii="Arial Narrow" w:hAnsi="Arial Narrow"/>
                <w:b/>
                <w:sz w:val="24"/>
                <w:szCs w:val="24"/>
              </w:rPr>
              <w:t xml:space="preserve">       </w:t>
            </w:r>
          </w:p>
        </w:tc>
      </w:tr>
    </w:tbl>
    <w:p w14:paraId="011BBC6A" w14:textId="2D746EE9" w:rsidR="0069440A" w:rsidRPr="00DF5899" w:rsidRDefault="003F175F" w:rsidP="0069440A">
      <w:pPr>
        <w:spacing w:after="0"/>
        <w:jc w:val="both"/>
        <w:rPr>
          <w:rFonts w:ascii="Arial Narrow" w:hAnsi="Arial Narrow"/>
          <w:b/>
          <w:color w:val="218649"/>
          <w:sz w:val="28"/>
          <w:szCs w:val="28"/>
        </w:rPr>
      </w:pPr>
      <w:r>
        <w:rPr>
          <w:rFonts w:ascii="Arial Narrow" w:hAnsi="Arial Narrow"/>
          <w:b/>
          <w:color w:val="218649"/>
          <w:sz w:val="28"/>
          <w:szCs w:val="28"/>
        </w:rPr>
        <w:t xml:space="preserve"> </w:t>
      </w:r>
      <w:r w:rsidR="00333D92" w:rsidRPr="00333D92">
        <w:rPr>
          <w:rFonts w:ascii="Arial Narrow" w:hAnsi="Arial Narrow"/>
          <w:b/>
          <w:color w:val="218649"/>
          <w:sz w:val="28"/>
          <w:szCs w:val="28"/>
        </w:rPr>
        <w:t>Deep Dive into the Section 1071 Final Rule</w:t>
      </w:r>
      <w:r w:rsidR="00A95E1A">
        <w:rPr>
          <w:rFonts w:ascii="Arial Narrow" w:hAnsi="Arial Narrow"/>
          <w:b/>
          <w:color w:val="218649"/>
          <w:sz w:val="28"/>
          <w:szCs w:val="28"/>
        </w:rPr>
        <w:t xml:space="preserve"> Manual</w:t>
      </w:r>
    </w:p>
    <w:p w14:paraId="1B5AD360" w14:textId="77777777" w:rsidR="00FB6536" w:rsidRDefault="00FB6536" w:rsidP="003F175F">
      <w:pPr>
        <w:spacing w:before="120" w:after="120"/>
        <w:jc w:val="both"/>
        <w:rPr>
          <w:rFonts w:ascii="Arial Narrow" w:hAnsi="Arial Narrow"/>
          <w:b/>
          <w:color w:val="218649"/>
          <w:sz w:val="28"/>
          <w:szCs w:val="28"/>
          <w:u w:val="single"/>
        </w:rPr>
      </w:pPr>
    </w:p>
    <w:p w14:paraId="4CB9F96D" w14:textId="3B9D4487" w:rsidR="0080506F" w:rsidRDefault="003063EE" w:rsidP="0059598F">
      <w:pPr>
        <w:spacing w:before="120" w:after="120"/>
        <w:jc w:val="both"/>
        <w:rPr>
          <w:rFonts w:ascii="Arial Narrow" w:hAnsi="Arial Narrow"/>
          <w:b/>
          <w:color w:val="218649"/>
          <w:sz w:val="28"/>
          <w:szCs w:val="28"/>
          <w:u w:val="single"/>
        </w:rPr>
      </w:pPr>
      <w:r>
        <w:rPr>
          <w:rFonts w:ascii="Arial Narrow" w:hAnsi="Arial Narrow"/>
          <w:b/>
          <w:color w:val="218649"/>
          <w:sz w:val="28"/>
          <w:szCs w:val="28"/>
          <w:u w:val="single"/>
        </w:rPr>
        <w:t>Preliminary</w:t>
      </w:r>
    </w:p>
    <w:p w14:paraId="2504E17F" w14:textId="0856771C" w:rsidR="003063EE" w:rsidRPr="00993788" w:rsidRDefault="00993788" w:rsidP="0059598F">
      <w:pPr>
        <w:spacing w:before="120" w:after="120"/>
        <w:jc w:val="both"/>
        <w:rPr>
          <w:rFonts w:ascii="Arial Narrow" w:hAnsi="Arial Narrow"/>
          <w:bCs/>
        </w:rPr>
      </w:pPr>
      <w:r w:rsidRPr="00993788">
        <w:rPr>
          <w:rFonts w:ascii="Arial Narrow" w:hAnsi="Arial Narrow"/>
          <w:bCs/>
        </w:rPr>
        <w:t>On March 30, 2023, the Consumer Financial Protection Bureau (CFPB) issued the small business lending rule (final rule), which implements the small business lending data collection requirements set forth in section 1071 of the Dodd-Frank Act (Section 1071).</w:t>
      </w:r>
    </w:p>
    <w:p w14:paraId="5ECB62E1" w14:textId="77777777" w:rsidR="00FB6536" w:rsidRDefault="00FB6536" w:rsidP="0059598F">
      <w:pPr>
        <w:spacing w:before="120" w:after="120"/>
        <w:jc w:val="both"/>
        <w:rPr>
          <w:rFonts w:ascii="Arial Narrow" w:hAnsi="Arial Narrow"/>
          <w:b/>
          <w:color w:val="218649"/>
          <w:sz w:val="28"/>
          <w:szCs w:val="28"/>
          <w:u w:val="single"/>
        </w:rPr>
      </w:pPr>
    </w:p>
    <w:p w14:paraId="475329DA" w14:textId="586611F2" w:rsidR="00AB4DAB" w:rsidRDefault="00C44A6E" w:rsidP="0059598F">
      <w:pPr>
        <w:spacing w:before="120" w:after="120"/>
        <w:jc w:val="both"/>
        <w:rPr>
          <w:rFonts w:ascii="Arial Narrow" w:hAnsi="Arial Narrow"/>
          <w:b/>
          <w:color w:val="218649"/>
          <w:sz w:val="28"/>
          <w:szCs w:val="28"/>
          <w:u w:val="single"/>
        </w:rPr>
      </w:pPr>
      <w:r>
        <w:rPr>
          <w:rFonts w:ascii="Arial Narrow" w:hAnsi="Arial Narrow"/>
          <w:b/>
          <w:color w:val="218649"/>
          <w:sz w:val="28"/>
          <w:szCs w:val="28"/>
          <w:u w:val="single"/>
        </w:rPr>
        <w:t>Background</w:t>
      </w:r>
    </w:p>
    <w:p w14:paraId="17ACE623" w14:textId="1F9C63FD" w:rsidR="00C55B2E" w:rsidRDefault="00AB4DAB" w:rsidP="0059598F">
      <w:pPr>
        <w:spacing w:before="120" w:after="120"/>
        <w:jc w:val="both"/>
        <w:rPr>
          <w:rFonts w:ascii="Arial Narrow" w:hAnsi="Arial Narrow" w:cs="Arial"/>
          <w:color w:val="2E2E2E"/>
          <w:shd w:val="clear" w:color="auto" w:fill="F8F8F8"/>
        </w:rPr>
      </w:pPr>
      <w:r w:rsidRPr="003625ED">
        <w:rPr>
          <w:rFonts w:ascii="Arial Narrow" w:hAnsi="Arial Narrow" w:cs="Arial"/>
          <w:color w:val="2E2E2E"/>
          <w:shd w:val="clear" w:color="auto" w:fill="F8F8F8"/>
        </w:rPr>
        <w:t>Section 1071 of the Dodd-Frank Wall Street Reform and Consumer Protection Act (Dodd-Frank Act)</w:t>
      </w:r>
      <w:r w:rsidR="008465C7">
        <w:rPr>
          <w:rFonts w:ascii="Arial Narrow" w:hAnsi="Arial Narrow" w:cs="Arial"/>
          <w:color w:val="2E2E2E"/>
          <w:shd w:val="clear" w:color="auto" w:fill="F8F8F8"/>
        </w:rPr>
        <w:t xml:space="preserve"> </w:t>
      </w:r>
      <w:r w:rsidRPr="003625ED">
        <w:rPr>
          <w:rFonts w:ascii="Arial Narrow" w:hAnsi="Arial Narrow" w:cs="Arial"/>
          <w:color w:val="2E2E2E"/>
          <w:shd w:val="clear" w:color="auto" w:fill="F8F8F8"/>
        </w:rPr>
        <w:t>amend</w:t>
      </w:r>
      <w:r w:rsidR="00AD6CCC">
        <w:rPr>
          <w:rFonts w:ascii="Arial Narrow" w:hAnsi="Arial Narrow" w:cs="Arial"/>
          <w:color w:val="2E2E2E"/>
          <w:shd w:val="clear" w:color="auto" w:fill="F8F8F8"/>
        </w:rPr>
        <w:t>s</w:t>
      </w:r>
      <w:r w:rsidRPr="003625ED">
        <w:rPr>
          <w:rFonts w:ascii="Arial Narrow" w:hAnsi="Arial Narrow" w:cs="Arial"/>
          <w:color w:val="2E2E2E"/>
          <w:shd w:val="clear" w:color="auto" w:fill="F8F8F8"/>
        </w:rPr>
        <w:t xml:space="preserve"> the Equal Credit Opportunity Act (ECOA) to require</w:t>
      </w:r>
      <w:r w:rsidR="00B53F1E">
        <w:rPr>
          <w:rFonts w:ascii="Arial Narrow" w:hAnsi="Arial Narrow" w:cs="Arial"/>
          <w:color w:val="2E2E2E"/>
          <w:shd w:val="clear" w:color="auto" w:fill="F8F8F8"/>
        </w:rPr>
        <w:t xml:space="preserve"> </w:t>
      </w:r>
      <w:r w:rsidRPr="003625ED">
        <w:rPr>
          <w:rFonts w:ascii="Arial Narrow" w:hAnsi="Arial Narrow" w:cs="Arial"/>
          <w:color w:val="2E2E2E"/>
          <w:shd w:val="clear" w:color="auto" w:fill="F8F8F8"/>
        </w:rPr>
        <w:t>financial institutions to report information</w:t>
      </w:r>
      <w:r w:rsidR="00164E05">
        <w:rPr>
          <w:rFonts w:ascii="Arial Narrow" w:hAnsi="Arial Narrow" w:cs="Arial"/>
          <w:color w:val="2E2E2E"/>
          <w:shd w:val="clear" w:color="auto" w:fill="F8F8F8"/>
        </w:rPr>
        <w:t xml:space="preserve"> to the C</w:t>
      </w:r>
      <w:r w:rsidR="00C153A7">
        <w:rPr>
          <w:rFonts w:ascii="Arial Narrow" w:hAnsi="Arial Narrow" w:cs="Arial"/>
          <w:color w:val="2E2E2E"/>
          <w:shd w:val="clear" w:color="auto" w:fill="F8F8F8"/>
        </w:rPr>
        <w:t>FPB certain information about</w:t>
      </w:r>
      <w:r w:rsidRPr="003625ED">
        <w:rPr>
          <w:rFonts w:ascii="Arial Narrow" w:hAnsi="Arial Narrow" w:cs="Arial"/>
          <w:color w:val="2E2E2E"/>
          <w:shd w:val="clear" w:color="auto" w:fill="F8F8F8"/>
        </w:rPr>
        <w:t xml:space="preserve"> credit applications </w:t>
      </w:r>
      <w:r w:rsidR="00C153A7">
        <w:rPr>
          <w:rFonts w:ascii="Arial Narrow" w:hAnsi="Arial Narrow" w:cs="Arial"/>
          <w:color w:val="2E2E2E"/>
          <w:shd w:val="clear" w:color="auto" w:fill="F8F8F8"/>
        </w:rPr>
        <w:t>from</w:t>
      </w:r>
      <w:r w:rsidRPr="003625ED">
        <w:rPr>
          <w:rFonts w:ascii="Arial Narrow" w:hAnsi="Arial Narrow" w:cs="Arial"/>
          <w:color w:val="2E2E2E"/>
          <w:shd w:val="clear" w:color="auto" w:fill="F8F8F8"/>
        </w:rPr>
        <w:t xml:space="preserve"> women-owned, minority-owned, and small businesses. </w:t>
      </w:r>
    </w:p>
    <w:p w14:paraId="151482CF" w14:textId="36B2C7A5" w:rsidR="00CE78BA" w:rsidRDefault="00AB4DAB" w:rsidP="0059598F">
      <w:pPr>
        <w:spacing w:before="120" w:after="120"/>
        <w:jc w:val="both"/>
        <w:rPr>
          <w:rFonts w:ascii="Arial Narrow" w:hAnsi="Arial Narrow" w:cs="Arial"/>
          <w:color w:val="2E2E2E"/>
          <w:shd w:val="clear" w:color="auto" w:fill="F8F8F8"/>
        </w:rPr>
      </w:pPr>
      <w:r w:rsidRPr="003625ED">
        <w:rPr>
          <w:rFonts w:ascii="Arial Narrow" w:hAnsi="Arial Narrow" w:cs="Arial"/>
          <w:color w:val="2E2E2E"/>
          <w:shd w:val="clear" w:color="auto" w:fill="F8F8F8"/>
        </w:rPr>
        <w:t>In September 2020, the Bureau released an outline of proposals under consideration and alternatives considered in advance of convening a panel under the Small Business Regulatory Enforcement Fairness Act (SBREFA), in conjunction with the Office of Management and Budget and the Small Business Administration</w:t>
      </w:r>
      <w:r w:rsidR="00FB1612">
        <w:rPr>
          <w:rFonts w:ascii="Arial Narrow" w:hAnsi="Arial Narrow" w:cs="Arial"/>
          <w:color w:val="2E2E2E"/>
          <w:shd w:val="clear" w:color="auto" w:fill="F8F8F8"/>
        </w:rPr>
        <w:t xml:space="preserve">. </w:t>
      </w:r>
      <w:r w:rsidRPr="003625ED">
        <w:rPr>
          <w:rFonts w:ascii="Arial Narrow" w:hAnsi="Arial Narrow" w:cs="Arial"/>
          <w:color w:val="2E2E2E"/>
          <w:shd w:val="clear" w:color="auto" w:fill="F8F8F8"/>
        </w:rPr>
        <w:t xml:space="preserve">The SBREFA panel was convened in October 2020 and received feedback from representatives of small entities on the impacts the rules the Bureau </w:t>
      </w:r>
      <w:r w:rsidR="00B53F1E">
        <w:rPr>
          <w:rFonts w:ascii="Arial Narrow" w:hAnsi="Arial Narrow" w:cs="Arial"/>
          <w:color w:val="2E2E2E"/>
          <w:shd w:val="clear" w:color="auto" w:fill="F8F8F8"/>
        </w:rPr>
        <w:t>was</w:t>
      </w:r>
      <w:r w:rsidRPr="003625ED">
        <w:rPr>
          <w:rFonts w:ascii="Arial Narrow" w:hAnsi="Arial Narrow" w:cs="Arial"/>
          <w:color w:val="2E2E2E"/>
          <w:shd w:val="clear" w:color="auto" w:fill="F8F8F8"/>
        </w:rPr>
        <w:t xml:space="preserve"> considering </w:t>
      </w:r>
      <w:proofErr w:type="gramStart"/>
      <w:r w:rsidRPr="003625ED">
        <w:rPr>
          <w:rFonts w:ascii="Arial Narrow" w:hAnsi="Arial Narrow" w:cs="Arial"/>
          <w:color w:val="2E2E2E"/>
          <w:shd w:val="clear" w:color="auto" w:fill="F8F8F8"/>
        </w:rPr>
        <w:t>to implement</w:t>
      </w:r>
      <w:proofErr w:type="gramEnd"/>
      <w:r w:rsidR="00FF51BD">
        <w:rPr>
          <w:rFonts w:ascii="Arial Narrow" w:hAnsi="Arial Narrow" w:cs="Arial"/>
          <w:color w:val="2E2E2E"/>
          <w:shd w:val="clear" w:color="auto" w:fill="F8F8F8"/>
        </w:rPr>
        <w:t>,</w:t>
      </w:r>
      <w:r w:rsidRPr="003625ED">
        <w:rPr>
          <w:rFonts w:ascii="Arial Narrow" w:hAnsi="Arial Narrow" w:cs="Arial"/>
          <w:color w:val="2E2E2E"/>
          <w:shd w:val="clear" w:color="auto" w:fill="F8F8F8"/>
        </w:rPr>
        <w:t xml:space="preserve"> </w:t>
      </w:r>
      <w:r w:rsidR="00FF51BD">
        <w:rPr>
          <w:rFonts w:ascii="Arial Narrow" w:hAnsi="Arial Narrow" w:cs="Arial"/>
          <w:color w:val="2E2E2E"/>
          <w:shd w:val="clear" w:color="auto" w:fill="F8F8F8"/>
        </w:rPr>
        <w:t>S</w:t>
      </w:r>
      <w:r w:rsidRPr="003625ED">
        <w:rPr>
          <w:rFonts w:ascii="Arial Narrow" w:hAnsi="Arial Narrow" w:cs="Arial"/>
          <w:color w:val="2E2E2E"/>
          <w:shd w:val="clear" w:color="auto" w:fill="F8F8F8"/>
        </w:rPr>
        <w:t>ection 1071</w:t>
      </w:r>
      <w:r w:rsidR="00FF51BD">
        <w:rPr>
          <w:rFonts w:ascii="Arial Narrow" w:hAnsi="Arial Narrow" w:cs="Arial"/>
          <w:color w:val="2E2E2E"/>
          <w:shd w:val="clear" w:color="auto" w:fill="F8F8F8"/>
        </w:rPr>
        <w:t>,</w:t>
      </w:r>
      <w:r w:rsidRPr="003625ED">
        <w:rPr>
          <w:rFonts w:ascii="Arial Narrow" w:hAnsi="Arial Narrow" w:cs="Arial"/>
          <w:color w:val="2E2E2E"/>
          <w:shd w:val="clear" w:color="auto" w:fill="F8F8F8"/>
        </w:rPr>
        <w:t xml:space="preserve"> would have on small entities likely to be directly affected by the rulemaking.</w:t>
      </w:r>
    </w:p>
    <w:p w14:paraId="2CCAE6C9" w14:textId="208192EB" w:rsidR="00C44A6E" w:rsidRPr="000A10F8" w:rsidRDefault="00AB4DAB" w:rsidP="0059598F">
      <w:pPr>
        <w:spacing w:before="120" w:after="120"/>
        <w:jc w:val="both"/>
        <w:rPr>
          <w:rFonts w:ascii="Arial Narrow" w:hAnsi="Arial Narrow"/>
          <w:b/>
          <w:color w:val="218649"/>
          <w:u w:val="single"/>
        </w:rPr>
      </w:pPr>
      <w:r w:rsidRPr="000A10F8">
        <w:rPr>
          <w:rFonts w:ascii="Arial Narrow" w:hAnsi="Arial Narrow" w:cs="Arial"/>
          <w:color w:val="2E2E2E"/>
          <w:shd w:val="clear" w:color="auto" w:fill="F8F8F8"/>
        </w:rPr>
        <w:t>The panel’s report was completed and released in December 2020.  On October 8, 2021, a Notice of  Rulemaking (NPRM) was published in the </w:t>
      </w:r>
      <w:r w:rsidRPr="000A10F8">
        <w:rPr>
          <w:rStyle w:val="Emphasis"/>
          <w:rFonts w:ascii="Arial Narrow" w:hAnsi="Arial Narrow" w:cs="Arial"/>
          <w:color w:val="2E2E2E"/>
          <w:shd w:val="clear" w:color="auto" w:fill="F8F8F8"/>
        </w:rPr>
        <w:t>Federal Register</w:t>
      </w:r>
      <w:r w:rsidRPr="000A10F8">
        <w:rPr>
          <w:rFonts w:ascii="Arial Narrow" w:hAnsi="Arial Narrow" w:cs="Arial"/>
          <w:color w:val="2E2E2E"/>
          <w:shd w:val="clear" w:color="auto" w:fill="F8F8F8"/>
        </w:rPr>
        <w:t xml:space="preserve">.  The Bureau’s next action for section 1071 </w:t>
      </w:r>
      <w:r w:rsidR="00FF51BD" w:rsidRPr="000A10F8">
        <w:rPr>
          <w:rFonts w:ascii="Arial Narrow" w:hAnsi="Arial Narrow" w:cs="Arial"/>
          <w:color w:val="2E2E2E"/>
          <w:shd w:val="clear" w:color="auto" w:fill="F8F8F8"/>
        </w:rPr>
        <w:t>was</w:t>
      </w:r>
      <w:r w:rsidRPr="000A10F8">
        <w:rPr>
          <w:rFonts w:ascii="Arial Narrow" w:hAnsi="Arial Narrow" w:cs="Arial"/>
          <w:color w:val="2E2E2E"/>
          <w:shd w:val="clear" w:color="auto" w:fill="F8F8F8"/>
        </w:rPr>
        <w:t xml:space="preserve"> the issuance of a final rule</w:t>
      </w:r>
      <w:r w:rsidR="00335064" w:rsidRPr="000A10F8">
        <w:rPr>
          <w:rFonts w:ascii="Arial Narrow" w:hAnsi="Arial Narrow" w:cs="Arial"/>
          <w:color w:val="2E2E2E"/>
          <w:shd w:val="clear" w:color="auto" w:fill="F8F8F8"/>
        </w:rPr>
        <w:t xml:space="preserve"> March 30, 2023.</w:t>
      </w:r>
    </w:p>
    <w:p w14:paraId="68B6FA1F" w14:textId="1900C0DB" w:rsidR="00C44A6E" w:rsidRDefault="00832BE9" w:rsidP="0059598F">
      <w:pPr>
        <w:autoSpaceDE w:val="0"/>
        <w:autoSpaceDN w:val="0"/>
        <w:adjustRightInd w:val="0"/>
        <w:jc w:val="both"/>
        <w:rPr>
          <w:rFonts w:ascii="Arial Narrow" w:hAnsi="Arial Narrow" w:cs="Arial"/>
          <w:color w:val="000000"/>
        </w:rPr>
      </w:pPr>
      <w:r w:rsidRPr="000A10F8">
        <w:rPr>
          <w:rFonts w:ascii="Arial Narrow" w:hAnsi="Arial Narrow" w:cs="Arial"/>
          <w:color w:val="000000"/>
        </w:rPr>
        <w:t xml:space="preserve">The stated purpose of Section 1071 is to facilitate enforcement of fair lending laws and to enable communities, governmental entities, and creditors to identify the </w:t>
      </w:r>
      <w:r w:rsidR="00D0294C" w:rsidRPr="000A10F8">
        <w:rPr>
          <w:rFonts w:ascii="Arial Narrow" w:hAnsi="Arial Narrow" w:cs="Arial"/>
          <w:color w:val="000000"/>
        </w:rPr>
        <w:t>following: B</w:t>
      </w:r>
      <w:r w:rsidR="001A597F" w:rsidRPr="000A10F8">
        <w:rPr>
          <w:rFonts w:ascii="Arial Narrow" w:hAnsi="Arial Narrow" w:cs="Arial"/>
          <w:color w:val="000000"/>
        </w:rPr>
        <w:t>usiness Needs and Opportunities</w:t>
      </w:r>
      <w:r w:rsidR="007D52D6" w:rsidRPr="000A10F8">
        <w:rPr>
          <w:rFonts w:ascii="Arial Narrow" w:hAnsi="Arial Narrow" w:cs="Arial"/>
          <w:color w:val="000000"/>
        </w:rPr>
        <w:t xml:space="preserve"> and Community Development </w:t>
      </w:r>
      <w:r w:rsidR="00F20FD5" w:rsidRPr="000A10F8">
        <w:rPr>
          <w:rFonts w:ascii="Arial Narrow" w:hAnsi="Arial Narrow" w:cs="Arial"/>
          <w:color w:val="000000"/>
        </w:rPr>
        <w:t>Needs of</w:t>
      </w:r>
      <w:r w:rsidR="00677C83" w:rsidRPr="000A10F8">
        <w:rPr>
          <w:rFonts w:ascii="Arial Narrow" w:hAnsi="Arial Narrow" w:cs="Arial"/>
          <w:color w:val="000000"/>
        </w:rPr>
        <w:t xml:space="preserve"> women owned businesses, minority owned businesses and small businesses.</w:t>
      </w:r>
      <w:r w:rsidR="00310562" w:rsidRPr="00310562">
        <w:t xml:space="preserve"> </w:t>
      </w:r>
      <w:r w:rsidR="00310562" w:rsidRPr="00310562">
        <w:rPr>
          <w:rFonts w:ascii="Arial Narrow" w:hAnsi="Arial Narrow" w:cs="Arial"/>
          <w:color w:val="000000"/>
        </w:rPr>
        <w:t>The CFPB has finalized this proposed rulemaking and issued the final rule, which is available at</w:t>
      </w:r>
      <w:r w:rsidR="00A70D60">
        <w:rPr>
          <w:rFonts w:ascii="Arial Narrow" w:hAnsi="Arial Narrow" w:cs="Arial"/>
          <w:color w:val="000000"/>
        </w:rPr>
        <w:t xml:space="preserve">: </w:t>
      </w:r>
      <w:hyperlink r:id="rId9" w:history="1">
        <w:r w:rsidR="00A70D60" w:rsidRPr="00BF3F37">
          <w:rPr>
            <w:rStyle w:val="Hyperlink"/>
            <w:rFonts w:ascii="Arial Narrow" w:hAnsi="Arial Narrow" w:cs="Arial"/>
          </w:rPr>
          <w:t>https://www.consumerfinance.gov/rules-policy/final-rules/small-business-lending-under-the-equal-credit-opportunity-act-regulation-b/</w:t>
        </w:r>
      </w:hyperlink>
      <w:r w:rsidR="00310562" w:rsidRPr="00310562">
        <w:rPr>
          <w:rFonts w:ascii="Arial Narrow" w:hAnsi="Arial Narrow" w:cs="Arial"/>
          <w:color w:val="000000"/>
        </w:rPr>
        <w:t>.</w:t>
      </w:r>
    </w:p>
    <w:p w14:paraId="6F8B0902" w14:textId="77777777" w:rsidR="00FB6536" w:rsidRDefault="00FB6536" w:rsidP="003F175F">
      <w:pPr>
        <w:spacing w:before="120" w:after="120"/>
        <w:jc w:val="both"/>
        <w:rPr>
          <w:rFonts w:ascii="Arial Narrow" w:hAnsi="Arial Narrow"/>
          <w:b/>
          <w:color w:val="218649"/>
          <w:sz w:val="28"/>
          <w:szCs w:val="28"/>
          <w:u w:val="single"/>
        </w:rPr>
      </w:pPr>
    </w:p>
    <w:p w14:paraId="4D45A93D" w14:textId="066BC5AC" w:rsidR="003F175F" w:rsidRPr="00A70D60" w:rsidRDefault="003F175F" w:rsidP="003F175F">
      <w:pPr>
        <w:spacing w:before="120" w:after="120"/>
        <w:jc w:val="both"/>
        <w:rPr>
          <w:rFonts w:ascii="Arial Narrow" w:hAnsi="Arial Narrow"/>
          <w:b/>
          <w:color w:val="218649"/>
          <w:sz w:val="28"/>
          <w:szCs w:val="28"/>
          <w:u w:val="single"/>
        </w:rPr>
      </w:pPr>
      <w:r w:rsidRPr="00A70D60">
        <w:rPr>
          <w:rFonts w:ascii="Arial Narrow" w:hAnsi="Arial Narrow"/>
          <w:b/>
          <w:color w:val="218649"/>
          <w:sz w:val="28"/>
          <w:szCs w:val="28"/>
          <w:u w:val="single"/>
        </w:rPr>
        <w:t xml:space="preserve">Summary </w:t>
      </w:r>
    </w:p>
    <w:p w14:paraId="27EB28B9" w14:textId="1FC33A0D" w:rsidR="004F2B6A" w:rsidRDefault="004F2B6A" w:rsidP="0059598F">
      <w:pPr>
        <w:autoSpaceDE w:val="0"/>
        <w:autoSpaceDN w:val="0"/>
        <w:adjustRightInd w:val="0"/>
        <w:jc w:val="both"/>
        <w:rPr>
          <w:rFonts w:ascii="Arial Narrow" w:hAnsi="Arial Narrow" w:cs="Arial"/>
          <w:color w:val="000000"/>
        </w:rPr>
      </w:pPr>
      <w:r>
        <w:rPr>
          <w:rFonts w:ascii="Arial Narrow" w:hAnsi="Arial Narrow" w:cs="Arial"/>
          <w:color w:val="000000"/>
        </w:rPr>
        <w:t>Section 1071</w:t>
      </w:r>
      <w:r w:rsidRPr="00E870FE">
        <w:rPr>
          <w:rFonts w:ascii="Arial Narrow" w:hAnsi="Arial Narrow" w:cs="Arial"/>
          <w:color w:val="000000"/>
        </w:rPr>
        <w:t xml:space="preserve"> specifies several</w:t>
      </w:r>
      <w:r>
        <w:rPr>
          <w:rFonts w:ascii="Arial Narrow" w:hAnsi="Arial Narrow" w:cs="Arial"/>
          <w:color w:val="000000"/>
        </w:rPr>
        <w:t xml:space="preserve"> required </w:t>
      </w:r>
      <w:r w:rsidRPr="00E870FE">
        <w:rPr>
          <w:rFonts w:ascii="Arial Narrow" w:hAnsi="Arial Narrow" w:cs="Arial"/>
          <w:color w:val="000000"/>
        </w:rPr>
        <w:t>data points and provides</w:t>
      </w:r>
      <w:r>
        <w:rPr>
          <w:rFonts w:ascii="Arial Narrow" w:hAnsi="Arial Narrow" w:cs="Arial"/>
          <w:color w:val="000000"/>
        </w:rPr>
        <w:t xml:space="preserve"> </w:t>
      </w:r>
      <w:r w:rsidRPr="00E870FE">
        <w:rPr>
          <w:rFonts w:ascii="Arial Narrow" w:hAnsi="Arial Narrow" w:cs="Arial"/>
          <w:color w:val="000000"/>
        </w:rPr>
        <w:t xml:space="preserve">authority for the </w:t>
      </w:r>
      <w:r>
        <w:rPr>
          <w:rFonts w:ascii="Arial Narrow" w:hAnsi="Arial Narrow" w:cs="Arial"/>
          <w:color w:val="000000"/>
        </w:rPr>
        <w:t>CFPB</w:t>
      </w:r>
      <w:r w:rsidRPr="00E870FE">
        <w:rPr>
          <w:rFonts w:ascii="Arial Narrow" w:hAnsi="Arial Narrow" w:cs="Arial"/>
          <w:color w:val="000000"/>
        </w:rPr>
        <w:t xml:space="preserve"> to </w:t>
      </w:r>
      <w:r w:rsidR="00677C83">
        <w:rPr>
          <w:rFonts w:ascii="Arial Narrow" w:hAnsi="Arial Narrow" w:cs="Arial"/>
          <w:color w:val="000000"/>
        </w:rPr>
        <w:t xml:space="preserve">require </w:t>
      </w:r>
      <w:r>
        <w:rPr>
          <w:rFonts w:ascii="Arial Narrow" w:hAnsi="Arial Narrow" w:cs="Arial"/>
          <w:color w:val="000000"/>
        </w:rPr>
        <w:t>additional</w:t>
      </w:r>
      <w:r w:rsidRPr="00E870FE">
        <w:rPr>
          <w:rFonts w:ascii="Arial Narrow" w:hAnsi="Arial Narrow" w:cs="Arial"/>
          <w:color w:val="000000"/>
        </w:rPr>
        <w:t xml:space="preserve"> </w:t>
      </w:r>
      <w:r>
        <w:rPr>
          <w:rFonts w:ascii="Arial Narrow" w:hAnsi="Arial Narrow" w:cs="Arial"/>
          <w:color w:val="000000"/>
        </w:rPr>
        <w:t xml:space="preserve">data points if </w:t>
      </w:r>
      <w:r w:rsidRPr="00E870FE">
        <w:rPr>
          <w:rFonts w:ascii="Arial Narrow" w:hAnsi="Arial Narrow" w:cs="Arial"/>
          <w:color w:val="000000"/>
        </w:rPr>
        <w:t xml:space="preserve">the </w:t>
      </w:r>
      <w:r>
        <w:rPr>
          <w:rFonts w:ascii="Arial Narrow" w:hAnsi="Arial Narrow" w:cs="Arial"/>
          <w:color w:val="000000"/>
        </w:rPr>
        <w:t>CFPB</w:t>
      </w:r>
      <w:r w:rsidRPr="00E870FE">
        <w:rPr>
          <w:rFonts w:ascii="Arial Narrow" w:hAnsi="Arial Narrow" w:cs="Arial"/>
          <w:color w:val="000000"/>
        </w:rPr>
        <w:t xml:space="preserve"> determines </w:t>
      </w:r>
      <w:r>
        <w:rPr>
          <w:rFonts w:ascii="Arial Narrow" w:hAnsi="Arial Narrow" w:cs="Arial"/>
          <w:color w:val="000000"/>
        </w:rPr>
        <w:t xml:space="preserve">that the collection of the additional data </w:t>
      </w:r>
      <w:r w:rsidRPr="00E870FE">
        <w:rPr>
          <w:rFonts w:ascii="Arial Narrow" w:hAnsi="Arial Narrow" w:cs="Arial"/>
          <w:color w:val="000000"/>
        </w:rPr>
        <w:t xml:space="preserve">would aid in fulfilling Section 1071’s purpose. Section 1071 also contains a number of other </w:t>
      </w:r>
      <w:r>
        <w:rPr>
          <w:rFonts w:ascii="Arial Narrow" w:hAnsi="Arial Narrow" w:cs="Arial"/>
          <w:color w:val="000000"/>
        </w:rPr>
        <w:t>safeguards</w:t>
      </w:r>
      <w:r w:rsidRPr="00E870FE">
        <w:rPr>
          <w:rFonts w:ascii="Arial Narrow" w:hAnsi="Arial Narrow" w:cs="Arial"/>
          <w:color w:val="000000"/>
        </w:rPr>
        <w:t xml:space="preserve"> regarding information </w:t>
      </w:r>
      <w:r>
        <w:rPr>
          <w:rFonts w:ascii="Arial Narrow" w:hAnsi="Arial Narrow" w:cs="Arial"/>
          <w:color w:val="000000"/>
        </w:rPr>
        <w:t xml:space="preserve">required to be </w:t>
      </w:r>
      <w:r w:rsidRPr="00E870FE">
        <w:rPr>
          <w:rFonts w:ascii="Arial Narrow" w:hAnsi="Arial Narrow" w:cs="Arial"/>
          <w:color w:val="000000"/>
        </w:rPr>
        <w:t>collected</w:t>
      </w:r>
      <w:r>
        <w:rPr>
          <w:rFonts w:ascii="Arial Narrow" w:hAnsi="Arial Narrow" w:cs="Arial"/>
          <w:color w:val="000000"/>
        </w:rPr>
        <w:t>,</w:t>
      </w:r>
      <w:r w:rsidRPr="00E870FE">
        <w:rPr>
          <w:rFonts w:ascii="Arial Narrow" w:hAnsi="Arial Narrow" w:cs="Arial"/>
          <w:color w:val="000000"/>
        </w:rPr>
        <w:t xml:space="preserve"> including that financial institutions restrict certain persons’ access to </w:t>
      </w:r>
      <w:r>
        <w:rPr>
          <w:rFonts w:ascii="Arial Narrow" w:hAnsi="Arial Narrow" w:cs="Arial"/>
          <w:color w:val="000000"/>
        </w:rPr>
        <w:t>collected i</w:t>
      </w:r>
      <w:r w:rsidRPr="00E870FE">
        <w:rPr>
          <w:rFonts w:ascii="Arial Narrow" w:hAnsi="Arial Narrow" w:cs="Arial"/>
          <w:color w:val="000000"/>
        </w:rPr>
        <w:t xml:space="preserve">nformation, requirements </w:t>
      </w:r>
      <w:r>
        <w:rPr>
          <w:rFonts w:ascii="Arial Narrow" w:hAnsi="Arial Narrow" w:cs="Arial"/>
          <w:color w:val="000000"/>
        </w:rPr>
        <w:t>for</w:t>
      </w:r>
      <w:r w:rsidRPr="00E870FE">
        <w:rPr>
          <w:rFonts w:ascii="Arial Narrow" w:hAnsi="Arial Narrow" w:cs="Arial"/>
          <w:color w:val="000000"/>
        </w:rPr>
        <w:t xml:space="preserve"> maintaining information, and requirements regarding</w:t>
      </w:r>
      <w:r>
        <w:rPr>
          <w:rFonts w:ascii="Arial Narrow" w:hAnsi="Arial Narrow" w:cs="Arial"/>
          <w:color w:val="000000"/>
        </w:rPr>
        <w:t xml:space="preserve"> </w:t>
      </w:r>
      <w:r w:rsidRPr="00E870FE">
        <w:rPr>
          <w:rFonts w:ascii="Arial Narrow" w:hAnsi="Arial Narrow" w:cs="Arial"/>
          <w:color w:val="000000"/>
        </w:rPr>
        <w:t xml:space="preserve">publication of data. </w:t>
      </w:r>
    </w:p>
    <w:p w14:paraId="038608C4" w14:textId="26EC7E7D" w:rsidR="004F2B6A" w:rsidRPr="007F491A" w:rsidRDefault="004F2B6A" w:rsidP="0059598F">
      <w:pPr>
        <w:autoSpaceDE w:val="0"/>
        <w:autoSpaceDN w:val="0"/>
        <w:adjustRightInd w:val="0"/>
        <w:jc w:val="both"/>
        <w:rPr>
          <w:rFonts w:ascii="Arial Narrow" w:hAnsi="Arial Narrow" w:cs="Arial"/>
        </w:rPr>
      </w:pPr>
      <w:r>
        <w:rPr>
          <w:rFonts w:ascii="Arial Narrow" w:hAnsi="Arial Narrow" w:cs="Arial"/>
        </w:rPr>
        <w:lastRenderedPageBreak/>
        <w:t>T</w:t>
      </w:r>
      <w:r w:rsidRPr="007F491A">
        <w:rPr>
          <w:rFonts w:ascii="Arial Narrow" w:hAnsi="Arial Narrow" w:cs="Arial"/>
        </w:rPr>
        <w:t xml:space="preserve">he  rule identifies who will be subject to the rule and defines those as “covered financial institutions.” The  rule also defines “covered applications,” “covered credit transactions,” and “small businesses.”  The result of these identifications and definitions are that essentially any entity that engages in financial activity that originated at least </w:t>
      </w:r>
      <w:r w:rsidR="00DF51C0" w:rsidRPr="00DF51C0">
        <w:rPr>
          <w:rFonts w:ascii="Arial Narrow" w:hAnsi="Arial Narrow" w:cs="Arial"/>
        </w:rPr>
        <w:t>100 covered originations in each of the two preceding calendar years</w:t>
      </w:r>
      <w:r w:rsidRPr="007F491A">
        <w:rPr>
          <w:rFonts w:ascii="Arial Narrow" w:hAnsi="Arial Narrow" w:cs="Arial"/>
        </w:rPr>
        <w:t xml:space="preserve"> to a business that had $5 million or less in gross annual revenue for the previous year </w:t>
      </w:r>
      <w:r w:rsidR="00CD40FA">
        <w:rPr>
          <w:rFonts w:ascii="Arial Narrow" w:hAnsi="Arial Narrow" w:cs="Arial"/>
        </w:rPr>
        <w:t>are</w:t>
      </w:r>
      <w:r w:rsidRPr="007F491A">
        <w:rPr>
          <w:rFonts w:ascii="Arial Narrow" w:hAnsi="Arial Narrow" w:cs="Arial"/>
        </w:rPr>
        <w:t xml:space="preserve"> required to collect and report small business lending data</w:t>
      </w:r>
      <w:r>
        <w:rPr>
          <w:rFonts w:ascii="Arial Narrow" w:hAnsi="Arial Narrow" w:cs="Arial"/>
        </w:rPr>
        <w:t>.</w:t>
      </w:r>
    </w:p>
    <w:p w14:paraId="2148ED9F" w14:textId="5933CF3D" w:rsidR="004F2B6A" w:rsidRDefault="004F2B6A" w:rsidP="0059598F">
      <w:pPr>
        <w:spacing w:before="120" w:after="120"/>
        <w:jc w:val="both"/>
        <w:rPr>
          <w:rFonts w:ascii="Arial Narrow" w:hAnsi="Arial Narrow"/>
          <w:b/>
          <w:color w:val="218649"/>
          <w:sz w:val="28"/>
          <w:szCs w:val="28"/>
          <w:u w:val="single"/>
        </w:rPr>
      </w:pPr>
      <w:r>
        <w:rPr>
          <w:rFonts w:ascii="Arial Narrow" w:hAnsi="Arial Narrow"/>
          <w:b/>
          <w:color w:val="218649"/>
          <w:sz w:val="28"/>
          <w:szCs w:val="28"/>
          <w:u w:val="single"/>
        </w:rPr>
        <w:t>Timing</w:t>
      </w:r>
    </w:p>
    <w:p w14:paraId="7740FFC4" w14:textId="07C25154" w:rsidR="00172358" w:rsidRPr="00172358" w:rsidRDefault="00492A9B" w:rsidP="0059598F">
      <w:pPr>
        <w:jc w:val="both"/>
        <w:rPr>
          <w:rFonts w:ascii="Arial Narrow" w:hAnsi="Arial Narrow"/>
        </w:rPr>
      </w:pPr>
      <w:r>
        <w:rPr>
          <w:rFonts w:ascii="Arial Narrow" w:hAnsi="Arial Narrow"/>
        </w:rPr>
        <w:t>By issuing the Final Rule on March 30, 2023, t</w:t>
      </w:r>
      <w:r w:rsidR="00172358" w:rsidRPr="00172358">
        <w:rPr>
          <w:rFonts w:ascii="Arial Narrow" w:hAnsi="Arial Narrow"/>
        </w:rPr>
        <w:t xml:space="preserve">he CFPB </w:t>
      </w:r>
      <w:r w:rsidR="003E5E93">
        <w:rPr>
          <w:rFonts w:ascii="Arial Narrow" w:hAnsi="Arial Narrow"/>
        </w:rPr>
        <w:t>met its</w:t>
      </w:r>
      <w:r w:rsidR="00172358" w:rsidRPr="00172358">
        <w:rPr>
          <w:rFonts w:ascii="Arial Narrow" w:hAnsi="Arial Narrow"/>
        </w:rPr>
        <w:t xml:space="preserve"> March 31, </w:t>
      </w:r>
      <w:proofErr w:type="gramStart"/>
      <w:r w:rsidR="00172358" w:rsidRPr="00172358">
        <w:rPr>
          <w:rFonts w:ascii="Arial Narrow" w:hAnsi="Arial Narrow"/>
        </w:rPr>
        <w:t>2023</w:t>
      </w:r>
      <w:proofErr w:type="gramEnd"/>
      <w:r w:rsidR="00172358" w:rsidRPr="00172358">
        <w:rPr>
          <w:rFonts w:ascii="Arial Narrow" w:hAnsi="Arial Narrow"/>
        </w:rPr>
        <w:t xml:space="preserve"> deadline for issuing a final rule </w:t>
      </w:r>
      <w:r>
        <w:rPr>
          <w:rFonts w:ascii="Arial Narrow" w:hAnsi="Arial Narrow"/>
        </w:rPr>
        <w:t xml:space="preserve">to </w:t>
      </w:r>
      <w:r w:rsidR="00172358" w:rsidRPr="00172358">
        <w:rPr>
          <w:rFonts w:ascii="Arial Narrow" w:hAnsi="Arial Narrow"/>
        </w:rPr>
        <w:t xml:space="preserve">implement the small business data requirements of Section 1071 of the Dodd-Frank Act. </w:t>
      </w:r>
      <w:r w:rsidR="0096291B">
        <w:rPr>
          <w:rFonts w:ascii="Arial Narrow" w:hAnsi="Arial Narrow"/>
        </w:rPr>
        <w:t xml:space="preserve"> T</w:t>
      </w:r>
      <w:r w:rsidR="00172358" w:rsidRPr="00172358">
        <w:rPr>
          <w:rFonts w:ascii="Arial Narrow" w:hAnsi="Arial Narrow"/>
        </w:rPr>
        <w:t>he Bur</w:t>
      </w:r>
      <w:r w:rsidR="004B75FD">
        <w:rPr>
          <w:rFonts w:ascii="Arial Narrow" w:hAnsi="Arial Narrow"/>
        </w:rPr>
        <w:t>eau had</w:t>
      </w:r>
      <w:r w:rsidR="0096291B">
        <w:rPr>
          <w:rFonts w:ascii="Arial Narrow" w:hAnsi="Arial Narrow"/>
        </w:rPr>
        <w:t xml:space="preserve"> previously</w:t>
      </w:r>
      <w:r w:rsidR="004B75FD">
        <w:rPr>
          <w:rFonts w:ascii="Arial Narrow" w:hAnsi="Arial Narrow"/>
        </w:rPr>
        <w:t xml:space="preserve"> issued a Notice of  Rulemaking</w:t>
      </w:r>
      <w:r w:rsidR="004B75FD" w:rsidRPr="00172358">
        <w:rPr>
          <w:rFonts w:ascii="Arial Narrow" w:hAnsi="Arial Narrow"/>
        </w:rPr>
        <w:t xml:space="preserve"> </w:t>
      </w:r>
      <w:r w:rsidR="00172358" w:rsidRPr="00172358">
        <w:rPr>
          <w:rFonts w:ascii="Arial Narrow" w:hAnsi="Arial Narrow"/>
        </w:rPr>
        <w:t>in August 2021 and the comment period ended on January 6, 2022.</w:t>
      </w:r>
      <w:r>
        <w:rPr>
          <w:rFonts w:ascii="Arial Narrow" w:hAnsi="Arial Narrow"/>
        </w:rPr>
        <w:t xml:space="preserve"> </w:t>
      </w:r>
      <w:r w:rsidR="00172358" w:rsidRPr="00172358">
        <w:rPr>
          <w:rFonts w:ascii="Arial Narrow" w:hAnsi="Arial Narrow"/>
        </w:rPr>
        <w:t>The</w:t>
      </w:r>
      <w:r w:rsidR="004B7A0D">
        <w:rPr>
          <w:rFonts w:ascii="Arial Narrow" w:hAnsi="Arial Narrow"/>
        </w:rPr>
        <w:t xml:space="preserve"> deadline date above was part of a stipulation that the CFPB </w:t>
      </w:r>
      <w:r w:rsidR="00172358" w:rsidRPr="00172358">
        <w:rPr>
          <w:rFonts w:ascii="Arial Narrow" w:hAnsi="Arial Narrow"/>
        </w:rPr>
        <w:t xml:space="preserve">agreed </w:t>
      </w:r>
      <w:r w:rsidR="00A1582A">
        <w:rPr>
          <w:rFonts w:ascii="Arial Narrow" w:hAnsi="Arial Narrow"/>
        </w:rPr>
        <w:t>that</w:t>
      </w:r>
      <w:r w:rsidR="00CA59EC">
        <w:rPr>
          <w:rFonts w:ascii="Arial Narrow" w:hAnsi="Arial Narrow"/>
        </w:rPr>
        <w:t xml:space="preserve"> which</w:t>
      </w:r>
      <w:r w:rsidR="00A1582A">
        <w:rPr>
          <w:rFonts w:ascii="Arial Narrow" w:hAnsi="Arial Narrow"/>
        </w:rPr>
        <w:t xml:space="preserve"> </w:t>
      </w:r>
      <w:r w:rsidR="002969D9">
        <w:rPr>
          <w:rFonts w:ascii="Arial Narrow" w:hAnsi="Arial Narrow"/>
        </w:rPr>
        <w:t>resolve</w:t>
      </w:r>
      <w:r w:rsidR="00A1582A">
        <w:rPr>
          <w:rFonts w:ascii="Arial Narrow" w:hAnsi="Arial Narrow"/>
        </w:rPr>
        <w:t>d</w:t>
      </w:r>
      <w:r w:rsidR="002969D9">
        <w:rPr>
          <w:rFonts w:ascii="Arial Narrow" w:hAnsi="Arial Narrow"/>
        </w:rPr>
        <w:t xml:space="preserve"> litigation in a</w:t>
      </w:r>
      <w:r w:rsidR="00172358" w:rsidRPr="00172358">
        <w:rPr>
          <w:rFonts w:ascii="Arial Narrow" w:hAnsi="Arial Narrow"/>
        </w:rPr>
        <w:t xml:space="preserve"> California federal district court</w:t>
      </w:r>
      <w:r w:rsidR="00CA59EC">
        <w:rPr>
          <w:rFonts w:ascii="Arial Narrow" w:hAnsi="Arial Narrow"/>
        </w:rPr>
        <w:t>.  That lawsuit</w:t>
      </w:r>
      <w:r w:rsidR="00416FCA">
        <w:rPr>
          <w:rFonts w:ascii="Arial Narrow" w:hAnsi="Arial Narrow"/>
        </w:rPr>
        <w:t xml:space="preserve"> sought to</w:t>
      </w:r>
      <w:r w:rsidR="00172358" w:rsidRPr="00172358">
        <w:rPr>
          <w:rFonts w:ascii="Arial Narrow" w:hAnsi="Arial Narrow"/>
        </w:rPr>
        <w:t xml:space="preserve"> force the Bureau to move forward </w:t>
      </w:r>
      <w:r w:rsidR="002969D9">
        <w:rPr>
          <w:rFonts w:ascii="Arial Narrow" w:hAnsi="Arial Narrow"/>
        </w:rPr>
        <w:t>with</w:t>
      </w:r>
      <w:r w:rsidR="00172358" w:rsidRPr="00172358">
        <w:rPr>
          <w:rFonts w:ascii="Arial Narrow" w:hAnsi="Arial Narrow"/>
        </w:rPr>
        <w:t xml:space="preserve"> Section 1071 rulemaking.  The stipulation</w:t>
      </w:r>
      <w:r w:rsidR="00416FCA">
        <w:rPr>
          <w:rFonts w:ascii="Arial Narrow" w:hAnsi="Arial Narrow"/>
        </w:rPr>
        <w:t xml:space="preserve"> and agreement </w:t>
      </w:r>
      <w:r w:rsidR="00172358" w:rsidRPr="00172358">
        <w:rPr>
          <w:rFonts w:ascii="Arial Narrow" w:hAnsi="Arial Narrow"/>
        </w:rPr>
        <w:t>resolve</w:t>
      </w:r>
      <w:r w:rsidR="00416FCA">
        <w:rPr>
          <w:rFonts w:ascii="Arial Narrow" w:hAnsi="Arial Narrow"/>
        </w:rPr>
        <w:t>d</w:t>
      </w:r>
      <w:r w:rsidR="00172358" w:rsidRPr="00172358">
        <w:rPr>
          <w:rFonts w:ascii="Arial Narrow" w:hAnsi="Arial Narrow"/>
        </w:rPr>
        <w:t xml:space="preserve"> the lawsuit.</w:t>
      </w:r>
    </w:p>
    <w:p w14:paraId="60364333" w14:textId="77777777" w:rsidR="00A81747" w:rsidRPr="0059598F" w:rsidRDefault="00A81747" w:rsidP="00A81747">
      <w:pPr>
        <w:autoSpaceDE w:val="0"/>
        <w:autoSpaceDN w:val="0"/>
        <w:adjustRightInd w:val="0"/>
        <w:rPr>
          <w:rFonts w:ascii="Arial Narrow" w:hAnsi="Arial Narrow" w:cs="Arial"/>
          <w:b/>
          <w:bCs/>
          <w:color w:val="118502"/>
          <w:sz w:val="28"/>
          <w:szCs w:val="28"/>
          <w:u w:val="single"/>
        </w:rPr>
      </w:pPr>
      <w:r w:rsidRPr="0059598F">
        <w:rPr>
          <w:rFonts w:ascii="Arial Narrow" w:hAnsi="Arial Narrow" w:cs="Arial"/>
          <w:b/>
          <w:bCs/>
          <w:color w:val="118502"/>
          <w:sz w:val="28"/>
          <w:szCs w:val="28"/>
          <w:u w:val="single"/>
        </w:rPr>
        <w:t>Covered Financial Institutions</w:t>
      </w:r>
    </w:p>
    <w:p w14:paraId="1CBCDC56" w14:textId="5287FD8D" w:rsidR="00A81747" w:rsidRDefault="00914720" w:rsidP="0059598F">
      <w:pPr>
        <w:autoSpaceDE w:val="0"/>
        <w:autoSpaceDN w:val="0"/>
        <w:adjustRightInd w:val="0"/>
        <w:jc w:val="both"/>
        <w:rPr>
          <w:rFonts w:ascii="Arial Narrow" w:hAnsi="Arial Narrow"/>
        </w:rPr>
      </w:pPr>
      <w:r>
        <w:rPr>
          <w:rFonts w:ascii="Arial Narrow" w:hAnsi="Arial Narrow"/>
        </w:rPr>
        <w:t xml:space="preserve">The </w:t>
      </w:r>
      <w:r w:rsidR="00A81747" w:rsidRPr="00E870FE">
        <w:rPr>
          <w:rFonts w:ascii="Arial Narrow" w:hAnsi="Arial Narrow"/>
        </w:rPr>
        <w:t>Section 1071 requirements</w:t>
      </w:r>
      <w:r>
        <w:rPr>
          <w:rFonts w:ascii="Arial Narrow" w:hAnsi="Arial Narrow"/>
        </w:rPr>
        <w:t xml:space="preserve"> apply</w:t>
      </w:r>
      <w:r w:rsidR="00A81747" w:rsidRPr="00E870FE">
        <w:rPr>
          <w:rFonts w:ascii="Arial Narrow" w:hAnsi="Arial Narrow"/>
        </w:rPr>
        <w:t xml:space="preserve"> to “covered financial institutions.” A “covered financial institution” </w:t>
      </w:r>
      <w:r>
        <w:rPr>
          <w:rFonts w:ascii="Arial Narrow" w:hAnsi="Arial Narrow"/>
        </w:rPr>
        <w:t>is</w:t>
      </w:r>
      <w:r w:rsidR="00A81747" w:rsidRPr="00E870FE">
        <w:rPr>
          <w:rFonts w:ascii="Arial Narrow" w:hAnsi="Arial Narrow"/>
        </w:rPr>
        <w:t xml:space="preserve"> any partnership, company, corporation, association, trust, estate, cooperative organization, or other entity that engages in any financial activity</w:t>
      </w:r>
      <w:r w:rsidR="00A81747">
        <w:rPr>
          <w:rFonts w:ascii="Arial Narrow" w:hAnsi="Arial Narrow"/>
        </w:rPr>
        <w:t xml:space="preserve"> that</w:t>
      </w:r>
      <w:r w:rsidR="00A81747" w:rsidRPr="00E870FE">
        <w:rPr>
          <w:rFonts w:ascii="Arial Narrow" w:hAnsi="Arial Narrow"/>
        </w:rPr>
        <w:t xml:space="preserve"> originated at least </w:t>
      </w:r>
      <w:r w:rsidR="0022670D">
        <w:rPr>
          <w:rFonts w:ascii="Arial Narrow" w:hAnsi="Arial Narrow"/>
        </w:rPr>
        <w:t>100</w:t>
      </w:r>
      <w:r w:rsidR="00A81747" w:rsidRPr="00E870FE">
        <w:rPr>
          <w:rFonts w:ascii="Arial Narrow" w:hAnsi="Arial Narrow"/>
        </w:rPr>
        <w:t xml:space="preserve"> covered credit transactions to small businesses in each of the two preceding calendar years. </w:t>
      </w:r>
      <w:r>
        <w:rPr>
          <w:rFonts w:ascii="Arial Narrow" w:hAnsi="Arial Narrow"/>
        </w:rPr>
        <w:t xml:space="preserve">Thus, </w:t>
      </w:r>
      <w:r w:rsidR="001279EE">
        <w:rPr>
          <w:rFonts w:ascii="Arial Narrow" w:hAnsi="Arial Narrow"/>
        </w:rPr>
        <w:t>United States banks</w:t>
      </w:r>
      <w:r w:rsidR="00244591" w:rsidRPr="00244591">
        <w:rPr>
          <w:rFonts w:ascii="Arial Narrow" w:hAnsi="Arial Narrow"/>
        </w:rPr>
        <w:t xml:space="preserve"> </w:t>
      </w:r>
      <w:r w:rsidR="001279EE">
        <w:rPr>
          <w:rFonts w:ascii="Arial Narrow" w:hAnsi="Arial Narrow"/>
        </w:rPr>
        <w:t>that</w:t>
      </w:r>
      <w:r w:rsidR="00244591" w:rsidRPr="00244591">
        <w:rPr>
          <w:rFonts w:ascii="Arial Narrow" w:hAnsi="Arial Narrow"/>
        </w:rPr>
        <w:t xml:space="preserve"> make loans to small businesses</w:t>
      </w:r>
      <w:r w:rsidR="001279EE">
        <w:rPr>
          <w:rFonts w:ascii="Arial Narrow" w:hAnsi="Arial Narrow"/>
        </w:rPr>
        <w:t xml:space="preserve"> </w:t>
      </w:r>
      <w:r w:rsidR="00244591" w:rsidRPr="00244591">
        <w:rPr>
          <w:rFonts w:ascii="Arial Narrow" w:hAnsi="Arial Narrow"/>
        </w:rPr>
        <w:t xml:space="preserve">will be impacted by this new rule. </w:t>
      </w:r>
      <w:r w:rsidR="001279EE">
        <w:rPr>
          <w:rFonts w:ascii="Arial Narrow" w:hAnsi="Arial Narrow"/>
        </w:rPr>
        <w:t xml:space="preserve"> </w:t>
      </w:r>
      <w:r w:rsidR="004E0A86">
        <w:rPr>
          <w:rFonts w:ascii="Arial Narrow" w:hAnsi="Arial Narrow"/>
        </w:rPr>
        <w:t>S</w:t>
      </w:r>
      <w:r w:rsidR="00244591" w:rsidRPr="00244591">
        <w:rPr>
          <w:rFonts w:ascii="Arial Narrow" w:hAnsi="Arial Narrow"/>
        </w:rPr>
        <w:t>mall businesses a</w:t>
      </w:r>
      <w:r w:rsidR="004E0A86">
        <w:rPr>
          <w:rFonts w:ascii="Arial Narrow" w:hAnsi="Arial Narrow"/>
        </w:rPr>
        <w:t>re</w:t>
      </w:r>
      <w:r w:rsidR="00244591" w:rsidRPr="00244591">
        <w:rPr>
          <w:rFonts w:ascii="Arial Narrow" w:hAnsi="Arial Narrow"/>
        </w:rPr>
        <w:t xml:space="preserve"> those having gross annual revenues of $5 million or less during the preceding fiscal year.</w:t>
      </w:r>
    </w:p>
    <w:p w14:paraId="50619B2D" w14:textId="545FC5C8" w:rsidR="00E846D6" w:rsidRDefault="008D11E7" w:rsidP="0059598F">
      <w:pPr>
        <w:autoSpaceDE w:val="0"/>
        <w:autoSpaceDN w:val="0"/>
        <w:adjustRightInd w:val="0"/>
        <w:jc w:val="both"/>
        <w:rPr>
          <w:rFonts w:ascii="Arial Narrow" w:hAnsi="Arial Narrow"/>
        </w:rPr>
      </w:pPr>
      <w:r w:rsidRPr="008D11E7">
        <w:rPr>
          <w:rFonts w:ascii="Arial Narrow" w:hAnsi="Arial Narrow"/>
        </w:rPr>
        <w:t>Th</w:t>
      </w:r>
      <w:r w:rsidR="009C2A2B">
        <w:rPr>
          <w:rFonts w:ascii="Arial Narrow" w:hAnsi="Arial Narrow"/>
        </w:rPr>
        <w:t>ere is no</w:t>
      </w:r>
      <w:r w:rsidRPr="008D11E7">
        <w:rPr>
          <w:rFonts w:ascii="Arial Narrow" w:hAnsi="Arial Narrow"/>
        </w:rPr>
        <w:t xml:space="preserve"> asset-based exemption threshold for depository institutions</w:t>
      </w:r>
      <w:r w:rsidR="009C2A2B">
        <w:rPr>
          <w:rFonts w:ascii="Arial Narrow" w:hAnsi="Arial Narrow"/>
        </w:rPr>
        <w:t xml:space="preserve"> </w:t>
      </w:r>
      <w:r w:rsidRPr="008D11E7">
        <w:rPr>
          <w:rFonts w:ascii="Arial Narrow" w:hAnsi="Arial Narrow"/>
        </w:rPr>
        <w:t>or any other general exemptions for particular categories of financial institutions.</w:t>
      </w:r>
      <w:r w:rsidR="0075273E">
        <w:rPr>
          <w:rFonts w:ascii="Arial Narrow" w:hAnsi="Arial Narrow"/>
        </w:rPr>
        <w:t xml:space="preserve">  Institutions will need to determine</w:t>
      </w:r>
      <w:r w:rsidR="004E61C9">
        <w:rPr>
          <w:rFonts w:ascii="Arial Narrow" w:hAnsi="Arial Narrow"/>
        </w:rPr>
        <w:t xml:space="preserve"> annually</w:t>
      </w:r>
      <w:r w:rsidR="0075273E">
        <w:rPr>
          <w:rFonts w:ascii="Arial Narrow" w:hAnsi="Arial Narrow"/>
        </w:rPr>
        <w:t xml:space="preserve"> if </w:t>
      </w:r>
      <w:r w:rsidR="00212816">
        <w:rPr>
          <w:rFonts w:ascii="Arial Narrow" w:hAnsi="Arial Narrow"/>
        </w:rPr>
        <w:t>it</w:t>
      </w:r>
      <w:r w:rsidR="004E61C9">
        <w:rPr>
          <w:rFonts w:ascii="Arial Narrow" w:hAnsi="Arial Narrow"/>
        </w:rPr>
        <w:t xml:space="preserve"> is a covered institution.</w:t>
      </w:r>
      <w:r w:rsidRPr="008D11E7">
        <w:rPr>
          <w:rFonts w:ascii="Arial Narrow" w:hAnsi="Arial Narrow"/>
        </w:rPr>
        <w:t xml:space="preserve"> </w:t>
      </w:r>
      <w:r w:rsidR="00523613">
        <w:rPr>
          <w:rFonts w:ascii="Arial Narrow" w:hAnsi="Arial Narrow"/>
        </w:rPr>
        <w:t>N</w:t>
      </w:r>
      <w:r w:rsidRPr="008D11E7">
        <w:rPr>
          <w:rFonts w:ascii="Arial Narrow" w:hAnsi="Arial Narrow"/>
        </w:rPr>
        <w:t xml:space="preserve">on-financial institution creditors </w:t>
      </w:r>
      <w:r w:rsidR="00523613">
        <w:rPr>
          <w:rFonts w:ascii="Arial Narrow" w:hAnsi="Arial Narrow"/>
        </w:rPr>
        <w:t>may</w:t>
      </w:r>
      <w:r w:rsidRPr="008D11E7">
        <w:rPr>
          <w:rFonts w:ascii="Arial Narrow" w:hAnsi="Arial Narrow"/>
        </w:rPr>
        <w:t xml:space="preserve"> collect and report data voluntarily in certain circumstances</w:t>
      </w:r>
      <w:r>
        <w:rPr>
          <w:rFonts w:ascii="Arial Narrow" w:hAnsi="Arial Narrow"/>
        </w:rPr>
        <w:t>.</w:t>
      </w:r>
      <w:r w:rsidR="00B9434E">
        <w:rPr>
          <w:rFonts w:ascii="Arial Narrow" w:hAnsi="Arial Narrow"/>
        </w:rPr>
        <w:t xml:space="preserve">   </w:t>
      </w:r>
      <w:r w:rsidR="00523613">
        <w:rPr>
          <w:rFonts w:ascii="Arial Narrow" w:hAnsi="Arial Narrow"/>
        </w:rPr>
        <w:t>Debts related to f</w:t>
      </w:r>
      <w:r w:rsidR="00B9434E" w:rsidRPr="00B9434E">
        <w:rPr>
          <w:rFonts w:ascii="Arial Narrow" w:hAnsi="Arial Narrow"/>
        </w:rPr>
        <w:t xml:space="preserve">actoring, leases, consumer-designated credit cards used for business purposes, and credit secured by certain investment properties </w:t>
      </w:r>
      <w:r w:rsidR="00914720">
        <w:rPr>
          <w:rFonts w:ascii="Arial Narrow" w:hAnsi="Arial Narrow"/>
        </w:rPr>
        <w:t>are not covered.</w:t>
      </w:r>
    </w:p>
    <w:p w14:paraId="5F1677D0" w14:textId="3286A29F" w:rsidR="00BF6B62" w:rsidRPr="0059598F" w:rsidRDefault="00BE0A5E" w:rsidP="0059598F">
      <w:pPr>
        <w:autoSpaceDE w:val="0"/>
        <w:autoSpaceDN w:val="0"/>
        <w:adjustRightInd w:val="0"/>
        <w:jc w:val="both"/>
        <w:rPr>
          <w:rFonts w:ascii="Arial Narrow" w:hAnsi="Arial Narrow" w:cs="Arial"/>
          <w:b/>
          <w:bCs/>
          <w:color w:val="118502"/>
          <w:sz w:val="28"/>
          <w:szCs w:val="28"/>
          <w:u w:val="single"/>
        </w:rPr>
      </w:pPr>
      <w:r w:rsidRPr="0059598F">
        <w:rPr>
          <w:rFonts w:ascii="Arial Narrow" w:hAnsi="Arial Narrow" w:cs="Arial"/>
          <w:b/>
          <w:bCs/>
          <w:color w:val="118502"/>
          <w:sz w:val="28"/>
          <w:szCs w:val="28"/>
          <w:u w:val="single"/>
        </w:rPr>
        <w:t>Covered</w:t>
      </w:r>
      <w:r w:rsidR="006C5BA0" w:rsidRPr="0059598F">
        <w:rPr>
          <w:rFonts w:ascii="Arial Narrow" w:hAnsi="Arial Narrow" w:cs="Arial"/>
          <w:b/>
          <w:bCs/>
          <w:color w:val="118502"/>
          <w:sz w:val="28"/>
          <w:szCs w:val="28"/>
          <w:u w:val="single"/>
        </w:rPr>
        <w:t xml:space="preserve"> Originations</w:t>
      </w:r>
    </w:p>
    <w:p w14:paraId="0D9DDB54" w14:textId="3F9015D7" w:rsidR="00BF6B62" w:rsidRPr="00BF6B62" w:rsidRDefault="00BF6B62" w:rsidP="0059598F">
      <w:pPr>
        <w:autoSpaceDE w:val="0"/>
        <w:autoSpaceDN w:val="0"/>
        <w:adjustRightInd w:val="0"/>
        <w:jc w:val="both"/>
        <w:rPr>
          <w:rFonts w:ascii="Arial Narrow" w:hAnsi="Arial Narrow" w:cs="Arial"/>
        </w:rPr>
      </w:pPr>
      <w:r w:rsidRPr="00BF6B62">
        <w:rPr>
          <w:rFonts w:ascii="Arial Narrow" w:hAnsi="Arial Narrow" w:cs="Arial"/>
        </w:rPr>
        <w:t>For purposes of determining institutional coverage (i.e., whether a financial institution is a covered financial institution) and compliance date tier, financial institutions count covered originations. A covered origination is a covered credit transaction that the financial institution originated to a small business. Refinancings can be covered originations. However, extensions, renewals, and other amendments of existing transactions are not considered covered originations even if they increase the credit line or credit amount of the existing transaction</w:t>
      </w:r>
    </w:p>
    <w:p w14:paraId="426327F7" w14:textId="7BFF5647" w:rsidR="00BE0A5E" w:rsidRPr="0059598F" w:rsidRDefault="0071619D" w:rsidP="0059598F">
      <w:pPr>
        <w:autoSpaceDE w:val="0"/>
        <w:autoSpaceDN w:val="0"/>
        <w:adjustRightInd w:val="0"/>
        <w:jc w:val="both"/>
        <w:rPr>
          <w:rFonts w:ascii="Arial Narrow" w:hAnsi="Arial Narrow" w:cs="Arial"/>
          <w:b/>
          <w:bCs/>
          <w:color w:val="118502"/>
          <w:sz w:val="28"/>
          <w:szCs w:val="28"/>
          <w:u w:val="single"/>
        </w:rPr>
      </w:pPr>
      <w:r w:rsidRPr="0059598F">
        <w:rPr>
          <w:rFonts w:ascii="Arial Narrow" w:hAnsi="Arial Narrow" w:cs="Arial"/>
          <w:b/>
          <w:bCs/>
          <w:color w:val="118502"/>
          <w:sz w:val="28"/>
          <w:szCs w:val="28"/>
          <w:u w:val="single"/>
        </w:rPr>
        <w:t xml:space="preserve">Reportable </w:t>
      </w:r>
      <w:r w:rsidR="00BE0A5E" w:rsidRPr="0059598F">
        <w:rPr>
          <w:rFonts w:ascii="Arial Narrow" w:hAnsi="Arial Narrow" w:cs="Arial"/>
          <w:b/>
          <w:bCs/>
          <w:color w:val="118502"/>
          <w:sz w:val="28"/>
          <w:szCs w:val="28"/>
          <w:u w:val="single"/>
        </w:rPr>
        <w:t>Applications</w:t>
      </w:r>
    </w:p>
    <w:p w14:paraId="7370038D" w14:textId="1C3642C0" w:rsidR="002F1447" w:rsidRDefault="006E4800" w:rsidP="0059598F">
      <w:pPr>
        <w:autoSpaceDE w:val="0"/>
        <w:autoSpaceDN w:val="0"/>
        <w:adjustRightInd w:val="0"/>
        <w:jc w:val="both"/>
        <w:rPr>
          <w:rFonts w:ascii="Arial Narrow" w:hAnsi="Arial Narrow" w:cs="Arial"/>
          <w:color w:val="000000"/>
        </w:rPr>
      </w:pPr>
      <w:r>
        <w:rPr>
          <w:rFonts w:ascii="Arial Narrow" w:hAnsi="Arial Narrow" w:cs="Arial"/>
          <w:color w:val="000000"/>
        </w:rPr>
        <w:t>C</w:t>
      </w:r>
      <w:r w:rsidR="00BE0A5E" w:rsidRPr="00E870FE">
        <w:rPr>
          <w:rFonts w:ascii="Arial Narrow" w:hAnsi="Arial Narrow" w:cs="Arial"/>
          <w:color w:val="000000"/>
        </w:rPr>
        <w:t>overed financial institutions</w:t>
      </w:r>
      <w:r>
        <w:rPr>
          <w:rFonts w:ascii="Arial Narrow" w:hAnsi="Arial Narrow" w:cs="Arial"/>
          <w:color w:val="000000"/>
        </w:rPr>
        <w:t xml:space="preserve"> are required to</w:t>
      </w:r>
      <w:r w:rsidR="00BE0A5E" w:rsidRPr="00E870FE">
        <w:rPr>
          <w:rFonts w:ascii="Arial Narrow" w:hAnsi="Arial Narrow" w:cs="Arial"/>
          <w:color w:val="000000"/>
        </w:rPr>
        <w:t xml:space="preserve"> collect and report data regarding covered applications from small businesses.</w:t>
      </w:r>
      <w:r>
        <w:rPr>
          <w:rFonts w:ascii="Arial Narrow" w:hAnsi="Arial Narrow" w:cs="Arial"/>
          <w:color w:val="000000"/>
        </w:rPr>
        <w:t xml:space="preserve">  </w:t>
      </w:r>
      <w:r w:rsidR="007220B9">
        <w:rPr>
          <w:rFonts w:ascii="Arial Narrow" w:hAnsi="Arial Narrow" w:cs="Arial"/>
          <w:color w:val="000000"/>
        </w:rPr>
        <w:t xml:space="preserve">A </w:t>
      </w:r>
      <w:r w:rsidR="00B64DDA" w:rsidRPr="00B64DDA">
        <w:rPr>
          <w:rFonts w:ascii="Arial Narrow" w:hAnsi="Arial Narrow" w:cs="Arial"/>
          <w:color w:val="000000"/>
        </w:rPr>
        <w:t>Covered Application</w:t>
      </w:r>
      <w:r w:rsidR="007220B9">
        <w:rPr>
          <w:rFonts w:ascii="Arial Narrow" w:hAnsi="Arial Narrow" w:cs="Arial"/>
          <w:color w:val="000000"/>
        </w:rPr>
        <w:t xml:space="preserve"> is a</w:t>
      </w:r>
      <w:r w:rsidR="00B64DDA" w:rsidRPr="00B64DDA">
        <w:rPr>
          <w:rFonts w:ascii="Arial Narrow" w:hAnsi="Arial Narrow" w:cs="Arial"/>
          <w:color w:val="000000"/>
        </w:rPr>
        <w:t xml:space="preserve">n oral or written request for a covered credit transaction that is made in accordance with the procedures and process typically used by the financial institution for the type of credit requested. </w:t>
      </w:r>
      <w:r w:rsidR="00C845EC">
        <w:rPr>
          <w:rFonts w:ascii="Arial Narrow" w:hAnsi="Arial Narrow" w:cs="Arial"/>
          <w:color w:val="000000"/>
        </w:rPr>
        <w:t xml:space="preserve">This </w:t>
      </w:r>
      <w:r w:rsidR="00E27261">
        <w:rPr>
          <w:rFonts w:ascii="Arial Narrow" w:hAnsi="Arial Narrow" w:cs="Arial"/>
          <w:color w:val="000000"/>
        </w:rPr>
        <w:t xml:space="preserve">“application” </w:t>
      </w:r>
      <w:r w:rsidR="00C845EC">
        <w:rPr>
          <w:rFonts w:ascii="Arial Narrow" w:hAnsi="Arial Narrow" w:cs="Arial"/>
          <w:color w:val="000000"/>
        </w:rPr>
        <w:t>definition is similar to the</w:t>
      </w:r>
      <w:r w:rsidR="00E27261">
        <w:rPr>
          <w:rFonts w:ascii="Arial Narrow" w:hAnsi="Arial Narrow" w:cs="Arial"/>
          <w:color w:val="000000"/>
        </w:rPr>
        <w:t xml:space="preserve"> definition in</w:t>
      </w:r>
      <w:r w:rsidR="00C845EC">
        <w:rPr>
          <w:rFonts w:ascii="Arial Narrow" w:hAnsi="Arial Narrow" w:cs="Arial"/>
          <w:color w:val="000000"/>
        </w:rPr>
        <w:t xml:space="preserve"> Regulation B</w:t>
      </w:r>
      <w:r w:rsidR="00E27261">
        <w:rPr>
          <w:rFonts w:ascii="Arial Narrow" w:hAnsi="Arial Narrow" w:cs="Arial"/>
          <w:color w:val="000000"/>
        </w:rPr>
        <w:t xml:space="preserve">. </w:t>
      </w:r>
      <w:r w:rsidR="00B64DDA" w:rsidRPr="00B64DDA">
        <w:rPr>
          <w:rFonts w:ascii="Arial Narrow" w:hAnsi="Arial Narrow" w:cs="Arial"/>
          <w:color w:val="000000"/>
        </w:rPr>
        <w:t>However,</w:t>
      </w:r>
      <w:r w:rsidR="008C6CBC">
        <w:rPr>
          <w:rFonts w:ascii="Arial Narrow" w:hAnsi="Arial Narrow" w:cs="Arial"/>
          <w:color w:val="000000"/>
        </w:rPr>
        <w:t xml:space="preserve"> exceptions include:</w:t>
      </w:r>
      <w:r w:rsidR="00B64DDA" w:rsidRPr="00B64DDA">
        <w:rPr>
          <w:rFonts w:ascii="Arial Narrow" w:hAnsi="Arial Narrow" w:cs="Arial"/>
          <w:color w:val="000000"/>
        </w:rPr>
        <w:t xml:space="preserve"> (1) inquiries and prequalification requests, (2) reevaluations, extensions, or renewal requests on existing credit accounts, unless the requests seek additional credit amount</w:t>
      </w:r>
      <w:r w:rsidR="00136E2E">
        <w:rPr>
          <w:rFonts w:ascii="Arial Narrow" w:hAnsi="Arial Narrow" w:cs="Arial"/>
          <w:color w:val="000000"/>
        </w:rPr>
        <w:t>s; (3) Solicitations, firm offers of credit and other evaluations</w:t>
      </w:r>
      <w:r w:rsidR="009B2CAC">
        <w:rPr>
          <w:rFonts w:ascii="Arial Narrow" w:hAnsi="Arial Narrow" w:cs="Arial"/>
          <w:color w:val="000000"/>
        </w:rPr>
        <w:t xml:space="preserve"> initiated by the financial institution unless the small business responds to </w:t>
      </w:r>
      <w:proofErr w:type="gramStart"/>
      <w:r w:rsidR="009B2CAC">
        <w:rPr>
          <w:rFonts w:ascii="Arial Narrow" w:hAnsi="Arial Narrow" w:cs="Arial"/>
          <w:color w:val="000000"/>
        </w:rPr>
        <w:t>an</w:t>
      </w:r>
      <w:proofErr w:type="gramEnd"/>
      <w:r w:rsidR="009B2CAC">
        <w:rPr>
          <w:rFonts w:ascii="Arial Narrow" w:hAnsi="Arial Narrow" w:cs="Arial"/>
          <w:color w:val="000000"/>
        </w:rPr>
        <w:t xml:space="preserve"> credit offer extended by the institution.</w:t>
      </w:r>
      <w:r w:rsidR="00B36AE6">
        <w:rPr>
          <w:rFonts w:ascii="Arial Narrow" w:hAnsi="Arial Narrow" w:cs="Arial"/>
          <w:color w:val="000000"/>
        </w:rPr>
        <w:t xml:space="preserve">    A request from </w:t>
      </w:r>
      <w:r w:rsidR="00B36AE6">
        <w:rPr>
          <w:rFonts w:ascii="Arial Narrow" w:hAnsi="Arial Narrow" w:cs="Arial"/>
          <w:color w:val="000000"/>
        </w:rPr>
        <w:lastRenderedPageBreak/>
        <w:t>a small business for refinancing is a reportable application</w:t>
      </w:r>
      <w:r w:rsidR="00A01584">
        <w:rPr>
          <w:rFonts w:ascii="Arial Narrow" w:hAnsi="Arial Narrow" w:cs="Arial"/>
          <w:color w:val="000000"/>
        </w:rPr>
        <w:t xml:space="preserve"> regardless of additional amounts requested or a line increase if the request is for an extension of business credit</w:t>
      </w:r>
      <w:r w:rsidR="00D1392E">
        <w:rPr>
          <w:rFonts w:ascii="Arial Narrow" w:hAnsi="Arial Narrow" w:cs="Arial"/>
          <w:color w:val="000000"/>
        </w:rPr>
        <w:t>, not otherwise excluded from coverage under the rule and is made in accordance with the procedures the financial institution uses for the type of credit requested.</w:t>
      </w:r>
    </w:p>
    <w:p w14:paraId="58502C4F" w14:textId="232D2211" w:rsidR="00371C76" w:rsidRPr="0059598F" w:rsidRDefault="00371C76" w:rsidP="0059598F">
      <w:pPr>
        <w:autoSpaceDE w:val="0"/>
        <w:autoSpaceDN w:val="0"/>
        <w:adjustRightInd w:val="0"/>
        <w:jc w:val="both"/>
        <w:rPr>
          <w:rFonts w:ascii="Arial Narrow" w:hAnsi="Arial Narrow" w:cs="Arial"/>
          <w:color w:val="000000"/>
          <w:u w:val="single"/>
        </w:rPr>
      </w:pPr>
      <w:r w:rsidRPr="0059598F">
        <w:rPr>
          <w:rFonts w:ascii="Arial Narrow" w:hAnsi="Arial Narrow" w:cs="Arial"/>
          <w:b/>
          <w:bCs/>
          <w:color w:val="118502"/>
          <w:sz w:val="28"/>
          <w:szCs w:val="28"/>
          <w:u w:val="single"/>
        </w:rPr>
        <w:t>Covered Credit Transactions</w:t>
      </w:r>
    </w:p>
    <w:p w14:paraId="4ACD5F82" w14:textId="1709BCA4" w:rsidR="002F1447" w:rsidRDefault="00B64DDA" w:rsidP="0059598F">
      <w:pPr>
        <w:autoSpaceDE w:val="0"/>
        <w:autoSpaceDN w:val="0"/>
        <w:adjustRightInd w:val="0"/>
        <w:jc w:val="both"/>
        <w:rPr>
          <w:rFonts w:ascii="Arial Narrow" w:hAnsi="Arial Narrow" w:cs="Arial"/>
          <w:color w:val="000000"/>
        </w:rPr>
      </w:pPr>
      <w:r w:rsidRPr="00B64DDA">
        <w:rPr>
          <w:rFonts w:ascii="Arial Narrow" w:hAnsi="Arial Narrow" w:cs="Arial"/>
          <w:color w:val="000000"/>
        </w:rPr>
        <w:t xml:space="preserve">Covered Credit Transactions </w:t>
      </w:r>
      <w:r w:rsidR="00150113">
        <w:rPr>
          <w:rFonts w:ascii="Arial Narrow" w:hAnsi="Arial Narrow" w:cs="Arial"/>
          <w:color w:val="000000"/>
        </w:rPr>
        <w:t>are an</w:t>
      </w:r>
      <w:r w:rsidRPr="00B64DDA">
        <w:rPr>
          <w:rFonts w:ascii="Arial Narrow" w:hAnsi="Arial Narrow" w:cs="Arial"/>
          <w:color w:val="000000"/>
        </w:rPr>
        <w:t xml:space="preserve"> extension of credit to a small business</w:t>
      </w:r>
      <w:r w:rsidR="00B654FA">
        <w:rPr>
          <w:rFonts w:ascii="Arial Narrow" w:hAnsi="Arial Narrow" w:cs="Arial"/>
          <w:color w:val="000000"/>
        </w:rPr>
        <w:t xml:space="preserve"> under Regulation B.</w:t>
      </w:r>
      <w:r w:rsidRPr="00B64DDA">
        <w:rPr>
          <w:rFonts w:ascii="Arial Narrow" w:hAnsi="Arial Narrow" w:cs="Arial"/>
          <w:color w:val="000000"/>
        </w:rPr>
        <w:t xml:space="preserve"> </w:t>
      </w:r>
      <w:r w:rsidR="00D2570C">
        <w:rPr>
          <w:rFonts w:ascii="Arial Narrow" w:hAnsi="Arial Narrow" w:cs="Arial"/>
          <w:color w:val="000000"/>
        </w:rPr>
        <w:t>These include</w:t>
      </w:r>
      <w:r w:rsidR="00F24857">
        <w:rPr>
          <w:rFonts w:ascii="Arial Narrow" w:hAnsi="Arial Narrow" w:cs="Arial"/>
          <w:color w:val="000000"/>
        </w:rPr>
        <w:t xml:space="preserve"> loans, lines of credit, credit cards, merchant cash advances and credit products used for agricultural products.   Exclusions include:</w:t>
      </w:r>
      <w:r w:rsidRPr="00B64DDA">
        <w:rPr>
          <w:rFonts w:ascii="Arial Narrow" w:hAnsi="Arial Narrow" w:cs="Arial"/>
          <w:color w:val="000000"/>
        </w:rPr>
        <w:t xml:space="preserve"> (1) Trade credit – a financing arrangement where a business acquires a good or service from another business without making immediate payment (2) </w:t>
      </w:r>
      <w:r w:rsidR="006F3616">
        <w:rPr>
          <w:rFonts w:ascii="Arial Narrow" w:hAnsi="Arial Narrow" w:cs="Arial"/>
          <w:color w:val="000000"/>
        </w:rPr>
        <w:t>HMDA reportable transactions (3) Insurance premium financing</w:t>
      </w:r>
      <w:r w:rsidR="00F54947">
        <w:rPr>
          <w:rFonts w:ascii="Arial Narrow" w:hAnsi="Arial Narrow" w:cs="Arial"/>
          <w:color w:val="000000"/>
        </w:rPr>
        <w:t xml:space="preserve"> (typically a repayment arrangement for proceeds advanced on an insurance contract</w:t>
      </w:r>
      <w:r w:rsidR="006F3616">
        <w:rPr>
          <w:rFonts w:ascii="Arial Narrow" w:hAnsi="Arial Narrow" w:cs="Arial"/>
          <w:color w:val="000000"/>
        </w:rPr>
        <w:t xml:space="preserve"> </w:t>
      </w:r>
      <w:r w:rsidR="00F54947">
        <w:rPr>
          <w:rFonts w:ascii="Arial Narrow" w:hAnsi="Arial Narrow" w:cs="Arial"/>
          <w:color w:val="000000"/>
        </w:rPr>
        <w:t xml:space="preserve">(4) </w:t>
      </w:r>
      <w:r w:rsidRPr="00B64DDA">
        <w:rPr>
          <w:rFonts w:ascii="Arial Narrow" w:hAnsi="Arial Narrow" w:cs="Arial"/>
          <w:color w:val="000000"/>
        </w:rPr>
        <w:t xml:space="preserve">Public utilities credit (3) Securities credit (4) Incidental credit </w:t>
      </w:r>
      <w:r w:rsidR="0018326B">
        <w:rPr>
          <w:rFonts w:ascii="Arial Narrow" w:hAnsi="Arial Narrow" w:cs="Arial"/>
          <w:color w:val="000000"/>
        </w:rPr>
        <w:t>but without regard to whether the credit is consumer credit, is extended by a creditor or is extended to a consumer</w:t>
      </w:r>
      <w:r w:rsidR="00024F62">
        <w:rPr>
          <w:rFonts w:ascii="Arial Narrow" w:hAnsi="Arial Narrow" w:cs="Arial"/>
          <w:color w:val="000000"/>
        </w:rPr>
        <w:t xml:space="preserve">. </w:t>
      </w:r>
      <w:r w:rsidR="00024F62" w:rsidRPr="00024F62">
        <w:rPr>
          <w:rFonts w:ascii="Arial Narrow" w:hAnsi="Arial Narrow" w:cs="Arial"/>
          <w:color w:val="000000"/>
        </w:rPr>
        <w:t>Additionally, certain other transactions are not included, such as factoring, leases, consumer-designated credit used for business purposes,</w:t>
      </w:r>
      <w:r w:rsidR="00CD19A7">
        <w:rPr>
          <w:rFonts w:ascii="Arial Narrow" w:hAnsi="Arial Narrow" w:cs="Arial"/>
          <w:color w:val="000000"/>
        </w:rPr>
        <w:t xml:space="preserve"> purchases of a credit transaction</w:t>
      </w:r>
      <w:r w:rsidR="009D6F06">
        <w:rPr>
          <w:rFonts w:ascii="Arial Narrow" w:hAnsi="Arial Narrow" w:cs="Arial"/>
          <w:color w:val="000000"/>
        </w:rPr>
        <w:t>, purchases of an interest in a pool of credit transactions purchases of a partial interest in a credit transaction</w:t>
      </w:r>
      <w:r w:rsidR="0094326A">
        <w:rPr>
          <w:rFonts w:ascii="Arial Narrow" w:hAnsi="Arial Narrow" w:cs="Arial"/>
          <w:color w:val="000000"/>
        </w:rPr>
        <w:t xml:space="preserve"> (</w:t>
      </w:r>
      <w:proofErr w:type="gramStart"/>
      <w:r w:rsidR="00542E98">
        <w:rPr>
          <w:rFonts w:ascii="Arial Narrow" w:hAnsi="Arial Narrow" w:cs="Arial"/>
          <w:color w:val="000000"/>
        </w:rPr>
        <w:t>i.e.</w:t>
      </w:r>
      <w:r w:rsidR="0094326A">
        <w:rPr>
          <w:rFonts w:ascii="Arial Narrow" w:hAnsi="Arial Narrow" w:cs="Arial"/>
          <w:color w:val="000000"/>
        </w:rPr>
        <w:t>.</w:t>
      </w:r>
      <w:proofErr w:type="gramEnd"/>
      <w:r w:rsidR="0094326A">
        <w:rPr>
          <w:rFonts w:ascii="Arial Narrow" w:hAnsi="Arial Narrow" w:cs="Arial"/>
          <w:color w:val="000000"/>
        </w:rPr>
        <w:t xml:space="preserve"> loan participation agreement).</w:t>
      </w:r>
    </w:p>
    <w:p w14:paraId="5D072F51" w14:textId="77AF26BD" w:rsidR="00854418" w:rsidRPr="0059598F" w:rsidRDefault="00854418" w:rsidP="0059598F">
      <w:pPr>
        <w:autoSpaceDE w:val="0"/>
        <w:autoSpaceDN w:val="0"/>
        <w:adjustRightInd w:val="0"/>
        <w:jc w:val="both"/>
        <w:rPr>
          <w:rFonts w:ascii="Arial Narrow" w:hAnsi="Arial Narrow" w:cs="Arial"/>
          <w:color w:val="000000"/>
          <w:u w:val="single"/>
        </w:rPr>
      </w:pPr>
      <w:r w:rsidRPr="0059598F">
        <w:rPr>
          <w:rFonts w:ascii="Arial Narrow" w:hAnsi="Arial Narrow" w:cs="Arial"/>
          <w:b/>
          <w:bCs/>
          <w:color w:val="118502"/>
          <w:sz w:val="28"/>
          <w:szCs w:val="28"/>
          <w:u w:val="single"/>
        </w:rPr>
        <w:t>Small Businesses</w:t>
      </w:r>
    </w:p>
    <w:p w14:paraId="66FA724E" w14:textId="59D8B55B" w:rsidR="00BE0A5E" w:rsidRPr="00173BAC" w:rsidRDefault="00854418" w:rsidP="0059598F">
      <w:pPr>
        <w:autoSpaceDE w:val="0"/>
        <w:autoSpaceDN w:val="0"/>
        <w:adjustRightInd w:val="0"/>
        <w:jc w:val="both"/>
        <w:rPr>
          <w:rFonts w:ascii="Arial Narrow" w:hAnsi="Arial Narrow" w:cs="Arial"/>
          <w:color w:val="000000"/>
        </w:rPr>
      </w:pPr>
      <w:r w:rsidRPr="00173BAC">
        <w:rPr>
          <w:rFonts w:ascii="Arial Narrow" w:hAnsi="Arial Narrow" w:cs="Arial"/>
          <w:color w:val="000000"/>
        </w:rPr>
        <w:t>S</w:t>
      </w:r>
      <w:r w:rsidR="00BE0A5E" w:rsidRPr="00173BAC">
        <w:rPr>
          <w:rFonts w:ascii="Arial Narrow" w:hAnsi="Arial Narrow" w:cs="Arial"/>
          <w:color w:val="000000"/>
        </w:rPr>
        <w:t>mall business</w:t>
      </w:r>
      <w:r w:rsidRPr="00173BAC">
        <w:rPr>
          <w:rFonts w:ascii="Arial Narrow" w:hAnsi="Arial Narrow" w:cs="Arial"/>
          <w:color w:val="000000"/>
        </w:rPr>
        <w:t xml:space="preserve"> </w:t>
      </w:r>
      <w:r w:rsidR="00731495" w:rsidRPr="00173BAC">
        <w:rPr>
          <w:rFonts w:ascii="Arial Narrow" w:hAnsi="Arial Narrow" w:cs="Arial"/>
          <w:color w:val="000000"/>
        </w:rPr>
        <w:t xml:space="preserve">parallels, partly, the </w:t>
      </w:r>
      <w:r w:rsidR="00AC4E1A" w:rsidRPr="00173BAC">
        <w:rPr>
          <w:rFonts w:ascii="Arial Narrow" w:hAnsi="Arial Narrow" w:cs="Arial"/>
          <w:color w:val="000000"/>
        </w:rPr>
        <w:t>definition of the</w:t>
      </w:r>
      <w:r w:rsidR="00B56C15" w:rsidRPr="00173BAC">
        <w:rPr>
          <w:rFonts w:ascii="Arial Narrow" w:hAnsi="Arial Narrow" w:cs="Arial"/>
          <w:color w:val="000000"/>
        </w:rPr>
        <w:t xml:space="preserve"> Small Business Administration</w:t>
      </w:r>
      <w:r w:rsidR="00672AD6" w:rsidRPr="00173BAC">
        <w:rPr>
          <w:rFonts w:ascii="Arial Narrow" w:hAnsi="Arial Narrow" w:cs="Arial"/>
          <w:color w:val="000000"/>
        </w:rPr>
        <w:t>’s (SBA)</w:t>
      </w:r>
      <w:r w:rsidR="00AC4E1A" w:rsidRPr="00173BAC">
        <w:rPr>
          <w:rFonts w:ascii="Arial Narrow" w:hAnsi="Arial Narrow" w:cs="Arial"/>
          <w:color w:val="000000"/>
        </w:rPr>
        <w:t xml:space="preserve"> </w:t>
      </w:r>
      <w:proofErr w:type="gramStart"/>
      <w:r w:rsidR="00AC4E1A" w:rsidRPr="00173BAC">
        <w:rPr>
          <w:rFonts w:ascii="Arial Narrow" w:hAnsi="Arial Narrow" w:cs="Arial"/>
          <w:color w:val="000000"/>
        </w:rPr>
        <w:t>with regard to</w:t>
      </w:r>
      <w:proofErr w:type="gramEnd"/>
      <w:r w:rsidR="00AC4E1A" w:rsidRPr="00173BAC">
        <w:rPr>
          <w:rFonts w:ascii="Arial Narrow" w:hAnsi="Arial Narrow" w:cs="Arial"/>
          <w:color w:val="000000"/>
        </w:rPr>
        <w:t xml:space="preserve"> “small business concern.”</w:t>
      </w:r>
      <w:r w:rsidR="00DE1ED6" w:rsidRPr="00173BAC">
        <w:rPr>
          <w:rFonts w:ascii="Arial Narrow" w:hAnsi="Arial Narrow"/>
        </w:rPr>
        <w:t xml:space="preserve">  </w:t>
      </w:r>
      <w:r w:rsidR="00DB1536" w:rsidRPr="00173BAC">
        <w:rPr>
          <w:rFonts w:ascii="Arial Narrow" w:hAnsi="Arial Narrow"/>
        </w:rPr>
        <w:t xml:space="preserve">The difference is that the 1071 rule defines a </w:t>
      </w:r>
      <w:r w:rsidR="00DE1ED6" w:rsidRPr="00173BAC">
        <w:rPr>
          <w:rFonts w:ascii="Arial Narrow" w:hAnsi="Arial Narrow" w:cs="Arial"/>
          <w:color w:val="000000"/>
        </w:rPr>
        <w:t xml:space="preserve">small business </w:t>
      </w:r>
      <w:r w:rsidR="009618DC" w:rsidRPr="00173BAC">
        <w:rPr>
          <w:rFonts w:ascii="Arial Narrow" w:hAnsi="Arial Narrow" w:cs="Arial"/>
          <w:color w:val="000000"/>
        </w:rPr>
        <w:t>as</w:t>
      </w:r>
      <w:r w:rsidR="00DE1ED6" w:rsidRPr="00173BAC">
        <w:rPr>
          <w:rFonts w:ascii="Arial Narrow" w:hAnsi="Arial Narrow" w:cs="Arial"/>
          <w:color w:val="000000"/>
        </w:rPr>
        <w:t xml:space="preserve"> a business that had $5 million or less in gross annual revenue for its preceding fiscal year</w:t>
      </w:r>
      <w:r w:rsidR="009618DC" w:rsidRPr="00173BAC">
        <w:rPr>
          <w:rFonts w:ascii="Arial Narrow" w:hAnsi="Arial Narrow" w:cs="Arial"/>
          <w:color w:val="000000"/>
        </w:rPr>
        <w:t xml:space="preserve"> as </w:t>
      </w:r>
      <w:r w:rsidR="008C738F" w:rsidRPr="00173BAC">
        <w:rPr>
          <w:rFonts w:ascii="Arial Narrow" w:hAnsi="Arial Narrow" w:cs="Arial"/>
          <w:color w:val="000000"/>
        </w:rPr>
        <w:t xml:space="preserve">opposed to </w:t>
      </w:r>
      <w:r w:rsidR="00BE0A5E" w:rsidRPr="00173BAC">
        <w:rPr>
          <w:rFonts w:ascii="Arial Narrow" w:hAnsi="Arial Narrow" w:cs="Arial"/>
          <w:color w:val="000000"/>
        </w:rPr>
        <w:t>using the SBA’s existing size standards.</w:t>
      </w:r>
      <w:r w:rsidR="00403C97" w:rsidRPr="00173BAC">
        <w:rPr>
          <w:rFonts w:ascii="Arial Narrow" w:hAnsi="Arial Narrow" w:cs="Arial"/>
          <w:color w:val="000000"/>
        </w:rPr>
        <w:t xml:space="preserve"> Conversely, business</w:t>
      </w:r>
      <w:r w:rsidR="000B2B23" w:rsidRPr="00173BAC">
        <w:rPr>
          <w:rFonts w:ascii="Arial Narrow" w:hAnsi="Arial Narrow" w:cs="Arial"/>
          <w:color w:val="000000"/>
        </w:rPr>
        <w:t>es</w:t>
      </w:r>
      <w:r w:rsidR="00403C97" w:rsidRPr="00173BAC">
        <w:rPr>
          <w:rFonts w:ascii="Arial Narrow" w:hAnsi="Arial Narrow" w:cs="Arial"/>
          <w:color w:val="000000"/>
        </w:rPr>
        <w:t xml:space="preserve"> </w:t>
      </w:r>
      <w:r w:rsidR="000B2B23" w:rsidRPr="00173BAC">
        <w:rPr>
          <w:rFonts w:ascii="Arial Narrow" w:hAnsi="Arial Narrow" w:cs="Arial"/>
          <w:color w:val="000000"/>
        </w:rPr>
        <w:t xml:space="preserve">with </w:t>
      </w:r>
      <w:r w:rsidR="00403C97" w:rsidRPr="00173BAC">
        <w:rPr>
          <w:rFonts w:ascii="Arial Narrow" w:hAnsi="Arial Narrow" w:cs="Arial"/>
          <w:color w:val="000000"/>
        </w:rPr>
        <w:t>more than 5 million</w:t>
      </w:r>
      <w:r w:rsidR="00322930" w:rsidRPr="00173BAC">
        <w:rPr>
          <w:rFonts w:ascii="Arial Narrow" w:hAnsi="Arial Narrow" w:cs="Arial"/>
          <w:color w:val="000000"/>
        </w:rPr>
        <w:t xml:space="preserve"> in revenue</w:t>
      </w:r>
      <w:r w:rsidR="000B2B23" w:rsidRPr="00173BAC">
        <w:rPr>
          <w:rFonts w:ascii="Arial Narrow" w:hAnsi="Arial Narrow" w:cs="Arial"/>
          <w:color w:val="000000"/>
        </w:rPr>
        <w:t xml:space="preserve"> in the preceding year are not considered small businesses under the rule.</w:t>
      </w:r>
      <w:r w:rsidR="00322930" w:rsidRPr="00173BAC">
        <w:rPr>
          <w:rFonts w:ascii="Arial Narrow" w:hAnsi="Arial Narrow" w:cs="Arial"/>
          <w:color w:val="000000"/>
        </w:rPr>
        <w:t xml:space="preserve"> </w:t>
      </w:r>
      <w:r w:rsidR="006A5C97" w:rsidRPr="00173BAC">
        <w:rPr>
          <w:rFonts w:ascii="Arial Narrow" w:hAnsi="Arial Narrow" w:cs="Arial"/>
          <w:color w:val="000000"/>
        </w:rPr>
        <w:t>Also, n</w:t>
      </w:r>
      <w:r w:rsidR="009618DC" w:rsidRPr="00173BAC">
        <w:rPr>
          <w:rFonts w:ascii="Arial Narrow" w:hAnsi="Arial Narrow" w:cs="Arial"/>
          <w:color w:val="000000"/>
        </w:rPr>
        <w:t>on-profit organizations and governmental enti</w:t>
      </w:r>
      <w:r w:rsidR="00717584" w:rsidRPr="00173BAC">
        <w:rPr>
          <w:rFonts w:ascii="Arial Narrow" w:hAnsi="Arial Narrow" w:cs="Arial"/>
          <w:color w:val="000000"/>
        </w:rPr>
        <w:t xml:space="preserve">ties are not </w:t>
      </w:r>
      <w:r w:rsidR="00840E29" w:rsidRPr="00173BAC">
        <w:rPr>
          <w:rFonts w:ascii="Arial Narrow" w:hAnsi="Arial Narrow" w:cs="Arial"/>
          <w:color w:val="000000"/>
        </w:rPr>
        <w:t xml:space="preserve">considered </w:t>
      </w:r>
      <w:r w:rsidR="00717584" w:rsidRPr="00173BAC">
        <w:rPr>
          <w:rFonts w:ascii="Arial Narrow" w:hAnsi="Arial Narrow" w:cs="Arial"/>
          <w:color w:val="000000"/>
        </w:rPr>
        <w:t>small businesses under the rule</w:t>
      </w:r>
      <w:r w:rsidR="006A5C97" w:rsidRPr="00173BAC">
        <w:rPr>
          <w:rFonts w:ascii="Arial Narrow" w:hAnsi="Arial Narrow" w:cs="Arial"/>
          <w:color w:val="000000"/>
        </w:rPr>
        <w:t>.</w:t>
      </w:r>
      <w:r w:rsidR="00093EE3" w:rsidRPr="00173BAC">
        <w:rPr>
          <w:rFonts w:ascii="Arial Narrow" w:hAnsi="Arial Narrow" w:cs="Arial"/>
          <w:color w:val="000000"/>
        </w:rPr>
        <w:t xml:space="preserve"> </w:t>
      </w:r>
      <w:r w:rsidR="006A5C97" w:rsidRPr="00173BAC">
        <w:rPr>
          <w:rFonts w:ascii="Arial Narrow" w:hAnsi="Arial Narrow" w:cs="Arial"/>
          <w:color w:val="000000"/>
        </w:rPr>
        <w:t xml:space="preserve"> T</w:t>
      </w:r>
      <w:r w:rsidR="00093EE3" w:rsidRPr="00173BAC">
        <w:rPr>
          <w:rFonts w:ascii="Arial Narrow" w:hAnsi="Arial Narrow" w:cs="Arial"/>
          <w:color w:val="000000"/>
        </w:rPr>
        <w:t>ransactions</w:t>
      </w:r>
      <w:r w:rsidR="006A5C97" w:rsidRPr="00173BAC">
        <w:rPr>
          <w:rFonts w:ascii="Arial Narrow" w:hAnsi="Arial Narrow" w:cs="Arial"/>
          <w:color w:val="000000"/>
        </w:rPr>
        <w:t xml:space="preserve"> with these entities</w:t>
      </w:r>
      <w:r w:rsidR="00093EE3" w:rsidRPr="00173BAC">
        <w:rPr>
          <w:rFonts w:ascii="Arial Narrow" w:hAnsi="Arial Narrow" w:cs="Arial"/>
          <w:color w:val="000000"/>
        </w:rPr>
        <w:t xml:space="preserve"> are not covered originations</w:t>
      </w:r>
      <w:r w:rsidR="00502A0C" w:rsidRPr="00173BAC">
        <w:rPr>
          <w:rFonts w:ascii="Arial Narrow" w:hAnsi="Arial Narrow" w:cs="Arial"/>
          <w:color w:val="000000"/>
        </w:rPr>
        <w:t xml:space="preserve"> which</w:t>
      </w:r>
      <w:r w:rsidR="00093EE3" w:rsidRPr="00173BAC">
        <w:rPr>
          <w:rFonts w:ascii="Arial Narrow" w:hAnsi="Arial Narrow" w:cs="Arial"/>
          <w:color w:val="000000"/>
        </w:rPr>
        <w:t xml:space="preserve"> negat</w:t>
      </w:r>
      <w:r w:rsidR="00502A0C" w:rsidRPr="00173BAC">
        <w:rPr>
          <w:rFonts w:ascii="Arial Narrow" w:hAnsi="Arial Narrow" w:cs="Arial"/>
          <w:color w:val="000000"/>
        </w:rPr>
        <w:t>es</w:t>
      </w:r>
      <w:r w:rsidR="00572E02" w:rsidRPr="00173BAC">
        <w:rPr>
          <w:rFonts w:ascii="Arial Narrow" w:hAnsi="Arial Narrow" w:cs="Arial"/>
          <w:color w:val="000000"/>
        </w:rPr>
        <w:t xml:space="preserve"> reporting requirements from these businesses and entities.</w:t>
      </w:r>
    </w:p>
    <w:p w14:paraId="76455349" w14:textId="37027963" w:rsidR="00F561BA" w:rsidRDefault="00F561BA" w:rsidP="0059598F">
      <w:pPr>
        <w:autoSpaceDE w:val="0"/>
        <w:autoSpaceDN w:val="0"/>
        <w:adjustRightInd w:val="0"/>
        <w:jc w:val="both"/>
        <w:rPr>
          <w:rFonts w:ascii="Arial Narrow" w:hAnsi="Arial Narrow" w:cs="Arial"/>
          <w:color w:val="000000"/>
        </w:rPr>
      </w:pPr>
      <w:r>
        <w:rPr>
          <w:rFonts w:ascii="Arial Narrow" w:hAnsi="Arial Narrow" w:cs="Arial"/>
          <w:color w:val="000000"/>
        </w:rPr>
        <w:t>Financial institutions are allowed to rely on applicant representations regarding gross annual revenue</w:t>
      </w:r>
      <w:r w:rsidR="00347168">
        <w:rPr>
          <w:rFonts w:ascii="Arial Narrow" w:hAnsi="Arial Narrow" w:cs="Arial"/>
          <w:color w:val="000000"/>
        </w:rPr>
        <w:t xml:space="preserve"> when determining </w:t>
      </w:r>
      <w:r w:rsidR="00780512">
        <w:rPr>
          <w:rFonts w:ascii="Arial Narrow" w:hAnsi="Arial Narrow" w:cs="Arial"/>
          <w:color w:val="000000"/>
        </w:rPr>
        <w:t>if an entity qualifies as a small business. In cases where a financial institution verifies provided information or if an applicant provides update</w:t>
      </w:r>
      <w:r w:rsidR="00DD5467">
        <w:rPr>
          <w:rFonts w:ascii="Arial Narrow" w:hAnsi="Arial Narrow" w:cs="Arial"/>
          <w:color w:val="000000"/>
        </w:rPr>
        <w:t>d information, the institution is required to use that information.</w:t>
      </w:r>
    </w:p>
    <w:p w14:paraId="310013CC" w14:textId="1422F256" w:rsidR="00BE0A5E" w:rsidRPr="0059598F" w:rsidRDefault="00BE0A5E" w:rsidP="0059598F">
      <w:pPr>
        <w:autoSpaceDE w:val="0"/>
        <w:autoSpaceDN w:val="0"/>
        <w:adjustRightInd w:val="0"/>
        <w:jc w:val="both"/>
        <w:rPr>
          <w:rFonts w:ascii="Arial Narrow" w:hAnsi="Arial Narrow" w:cs="Arial"/>
          <w:b/>
          <w:bCs/>
          <w:color w:val="118502"/>
          <w:sz w:val="28"/>
          <w:szCs w:val="28"/>
          <w:u w:val="single"/>
        </w:rPr>
      </w:pPr>
      <w:r w:rsidRPr="0059598F">
        <w:rPr>
          <w:rFonts w:ascii="Arial Narrow" w:hAnsi="Arial Narrow" w:cs="Arial"/>
          <w:b/>
          <w:bCs/>
          <w:color w:val="118502"/>
          <w:sz w:val="28"/>
          <w:szCs w:val="28"/>
          <w:u w:val="single"/>
        </w:rPr>
        <w:t>Requirements to Collect and Report Data</w:t>
      </w:r>
    </w:p>
    <w:p w14:paraId="3B90827A" w14:textId="0EB8EA94" w:rsidR="007954FB" w:rsidRDefault="00CC0BA9" w:rsidP="0059598F">
      <w:pPr>
        <w:jc w:val="both"/>
        <w:rPr>
          <w:rFonts w:ascii="Arial Narrow" w:hAnsi="Arial Narrow"/>
        </w:rPr>
      </w:pPr>
      <w:r w:rsidRPr="007954FB">
        <w:rPr>
          <w:rFonts w:ascii="Arial Narrow" w:hAnsi="Arial Narrow"/>
        </w:rPr>
        <w:t>Collecting data</w:t>
      </w:r>
      <w:r w:rsidR="00896555" w:rsidRPr="007954FB">
        <w:rPr>
          <w:rFonts w:ascii="Arial Narrow" w:hAnsi="Arial Narrow"/>
        </w:rPr>
        <w:t xml:space="preserve"> u</w:t>
      </w:r>
      <w:r w:rsidRPr="007954FB">
        <w:rPr>
          <w:rFonts w:ascii="Arial Narrow" w:hAnsi="Arial Narrow"/>
        </w:rPr>
        <w:t>nder Section 1071</w:t>
      </w:r>
      <w:r w:rsidR="00896555" w:rsidRPr="007954FB">
        <w:rPr>
          <w:rFonts w:ascii="Arial Narrow" w:hAnsi="Arial Narrow"/>
        </w:rPr>
        <w:t xml:space="preserve"> </w:t>
      </w:r>
      <w:r w:rsidR="007954FB">
        <w:rPr>
          <w:rFonts w:ascii="Arial Narrow" w:hAnsi="Arial Narrow"/>
        </w:rPr>
        <w:t>requires the</w:t>
      </w:r>
      <w:r w:rsidRPr="007954FB">
        <w:rPr>
          <w:rFonts w:ascii="Arial Narrow" w:hAnsi="Arial Narrow"/>
        </w:rPr>
        <w:t xml:space="preserve"> collect</w:t>
      </w:r>
      <w:r w:rsidR="007954FB">
        <w:rPr>
          <w:rFonts w:ascii="Arial Narrow" w:hAnsi="Arial Narrow"/>
        </w:rPr>
        <w:t>ion of</w:t>
      </w:r>
      <w:r w:rsidRPr="007954FB">
        <w:rPr>
          <w:rFonts w:ascii="Arial Narrow" w:hAnsi="Arial Narrow"/>
        </w:rPr>
        <w:t xml:space="preserve"> </w:t>
      </w:r>
      <w:r w:rsidR="00BC74D6">
        <w:rPr>
          <w:rFonts w:ascii="Arial Narrow" w:hAnsi="Arial Narrow"/>
        </w:rPr>
        <w:t>many</w:t>
      </w:r>
      <w:r w:rsidRPr="007954FB">
        <w:rPr>
          <w:rFonts w:ascii="Arial Narrow" w:hAnsi="Arial Narrow"/>
        </w:rPr>
        <w:t xml:space="preserve"> additional data points</w:t>
      </w:r>
      <w:r w:rsidR="00F634C5">
        <w:rPr>
          <w:rFonts w:ascii="Arial Narrow" w:hAnsi="Arial Narrow"/>
        </w:rPr>
        <w:t xml:space="preserve"> on reportable applications (</w:t>
      </w:r>
      <w:proofErr w:type="gramStart"/>
      <w:r w:rsidR="00F634C5">
        <w:rPr>
          <w:rFonts w:ascii="Arial Narrow" w:hAnsi="Arial Narrow"/>
        </w:rPr>
        <w:t>i.e.</w:t>
      </w:r>
      <w:proofErr w:type="gramEnd"/>
      <w:r w:rsidR="00F634C5">
        <w:rPr>
          <w:rFonts w:ascii="Arial Narrow" w:hAnsi="Arial Narrow"/>
        </w:rPr>
        <w:t xml:space="preserve"> from small businesses)</w:t>
      </w:r>
      <w:r w:rsidRPr="007954FB">
        <w:rPr>
          <w:rFonts w:ascii="Arial Narrow" w:hAnsi="Arial Narrow"/>
        </w:rPr>
        <w:t>.</w:t>
      </w:r>
      <w:r w:rsidR="00CF7052">
        <w:rPr>
          <w:rFonts w:ascii="Arial Narrow" w:hAnsi="Arial Narrow"/>
        </w:rPr>
        <w:t xml:space="preserve"> </w:t>
      </w:r>
      <w:r w:rsidR="007954FB" w:rsidRPr="007954FB">
        <w:rPr>
          <w:rFonts w:ascii="Arial Narrow" w:hAnsi="Arial Narrow"/>
        </w:rPr>
        <w:t>F</w:t>
      </w:r>
      <w:r w:rsidRPr="007954FB">
        <w:rPr>
          <w:rFonts w:ascii="Arial Narrow" w:hAnsi="Arial Narrow"/>
        </w:rPr>
        <w:t>inancial institutions must collect data on a calendar-year basis and report it by June 1.</w:t>
      </w:r>
      <w:r w:rsidR="00CF7052">
        <w:rPr>
          <w:rFonts w:ascii="Arial Narrow" w:hAnsi="Arial Narrow"/>
        </w:rPr>
        <w:t xml:space="preserve"> </w:t>
      </w:r>
      <w:r w:rsidRPr="007954FB">
        <w:rPr>
          <w:rFonts w:ascii="Arial Narrow" w:hAnsi="Arial Narrow"/>
        </w:rPr>
        <w:t>Section 1071 allows financial institutions to reuse previously collected data as long as it was procured within the same calendar year as the current application. This allowance assumes the lender believes the previously collected data is accurate</w:t>
      </w:r>
      <w:r w:rsidR="007A6337">
        <w:rPr>
          <w:rFonts w:ascii="Arial Narrow" w:hAnsi="Arial Narrow"/>
        </w:rPr>
        <w:t>.</w:t>
      </w:r>
    </w:p>
    <w:p w14:paraId="366418E6" w14:textId="77777777" w:rsidR="0059598F" w:rsidRDefault="0059598F" w:rsidP="0059598F">
      <w:pPr>
        <w:autoSpaceDE w:val="0"/>
        <w:autoSpaceDN w:val="0"/>
        <w:adjustRightInd w:val="0"/>
        <w:jc w:val="both"/>
        <w:rPr>
          <w:rFonts w:ascii="Arial Narrow" w:hAnsi="Arial Narrow" w:cs="Arial"/>
          <w:b/>
          <w:bCs/>
          <w:color w:val="118502"/>
        </w:rPr>
      </w:pPr>
    </w:p>
    <w:p w14:paraId="46463752" w14:textId="088D78E8" w:rsidR="008D4E6A" w:rsidRPr="004272BC" w:rsidRDefault="008D4E6A" w:rsidP="0059598F">
      <w:pPr>
        <w:autoSpaceDE w:val="0"/>
        <w:autoSpaceDN w:val="0"/>
        <w:adjustRightInd w:val="0"/>
        <w:jc w:val="both"/>
        <w:rPr>
          <w:rFonts w:ascii="Arial Narrow" w:hAnsi="Arial Narrow" w:cs="Arial"/>
          <w:b/>
          <w:bCs/>
          <w:color w:val="118502"/>
        </w:rPr>
      </w:pPr>
      <w:r w:rsidRPr="004272BC">
        <w:rPr>
          <w:rFonts w:ascii="Arial Narrow" w:hAnsi="Arial Narrow" w:cs="Arial"/>
          <w:b/>
          <w:bCs/>
          <w:color w:val="118502"/>
        </w:rPr>
        <w:t>Data Points Genera</w:t>
      </w:r>
      <w:r w:rsidR="004272BC" w:rsidRPr="004272BC">
        <w:rPr>
          <w:rFonts w:ascii="Arial Narrow" w:hAnsi="Arial Narrow" w:cs="Arial"/>
          <w:b/>
          <w:bCs/>
          <w:color w:val="118502"/>
        </w:rPr>
        <w:t>ted by the Financial Institution</w:t>
      </w:r>
    </w:p>
    <w:p w14:paraId="021B716B" w14:textId="391C075F" w:rsidR="00FF2AD1" w:rsidRDefault="002B1ED0" w:rsidP="0059598F">
      <w:pPr>
        <w:jc w:val="both"/>
        <w:rPr>
          <w:rFonts w:ascii="Arial Narrow" w:hAnsi="Arial Narrow"/>
        </w:rPr>
      </w:pPr>
      <w:r w:rsidRPr="002B1ED0">
        <w:rPr>
          <w:rFonts w:ascii="Arial Narrow" w:hAnsi="Arial Narrow"/>
        </w:rPr>
        <w:t xml:space="preserve">Data Collection and Reporting Covered financial institutions </w:t>
      </w:r>
      <w:r w:rsidR="00CD40FA">
        <w:rPr>
          <w:rFonts w:ascii="Arial Narrow" w:hAnsi="Arial Narrow"/>
        </w:rPr>
        <w:t>are</w:t>
      </w:r>
      <w:r w:rsidRPr="002B1ED0">
        <w:rPr>
          <w:rFonts w:ascii="Arial Narrow" w:hAnsi="Arial Narrow"/>
        </w:rPr>
        <w:t xml:space="preserve"> required to compile and maintain the following data </w:t>
      </w:r>
      <w:r w:rsidR="00D848B1">
        <w:rPr>
          <w:rFonts w:ascii="Arial Narrow" w:hAnsi="Arial Narrow"/>
        </w:rPr>
        <w:t>that the financial institution generates</w:t>
      </w:r>
      <w:r w:rsidR="00EE6688">
        <w:rPr>
          <w:rFonts w:ascii="Arial Narrow" w:hAnsi="Arial Narrow"/>
        </w:rPr>
        <w:t>:</w:t>
      </w:r>
    </w:p>
    <w:p w14:paraId="03539CDC" w14:textId="77777777" w:rsidR="0059598F" w:rsidRDefault="0059598F" w:rsidP="0059598F">
      <w:pPr>
        <w:jc w:val="both"/>
        <w:rPr>
          <w:rFonts w:ascii="Arial Narrow" w:hAnsi="Arial Narrow"/>
        </w:rPr>
      </w:pPr>
    </w:p>
    <w:p w14:paraId="6E409179" w14:textId="77777777" w:rsidR="00FF2AD1" w:rsidRDefault="002B1ED0" w:rsidP="0059598F">
      <w:pPr>
        <w:jc w:val="both"/>
        <w:rPr>
          <w:rFonts w:ascii="Arial Narrow" w:hAnsi="Arial Narrow"/>
        </w:rPr>
      </w:pPr>
      <w:r w:rsidRPr="002B1ED0">
        <w:rPr>
          <w:rFonts w:ascii="Arial Narrow" w:hAnsi="Arial Narrow"/>
        </w:rPr>
        <w:lastRenderedPageBreak/>
        <w:t xml:space="preserve">(1) Unique identifier – an alphanumeric identifier, starting with a unique legal entity identifier of the financial institution. </w:t>
      </w:r>
    </w:p>
    <w:p w14:paraId="7E80B166" w14:textId="77777777" w:rsidR="00FF2AD1" w:rsidRDefault="002B1ED0" w:rsidP="0059598F">
      <w:pPr>
        <w:jc w:val="both"/>
        <w:rPr>
          <w:rFonts w:ascii="Arial Narrow" w:hAnsi="Arial Narrow"/>
        </w:rPr>
      </w:pPr>
      <w:r w:rsidRPr="002B1ED0">
        <w:rPr>
          <w:rFonts w:ascii="Arial Narrow" w:hAnsi="Arial Narrow"/>
        </w:rPr>
        <w:t xml:space="preserve">(2) Application date – the date the covered application was received by the financial institution. </w:t>
      </w:r>
    </w:p>
    <w:p w14:paraId="09B4ED47" w14:textId="0AAE8F9C" w:rsidR="00FF2AD1" w:rsidRDefault="002B1ED0" w:rsidP="0059598F">
      <w:pPr>
        <w:jc w:val="both"/>
        <w:rPr>
          <w:rFonts w:ascii="Arial Narrow" w:hAnsi="Arial Narrow"/>
        </w:rPr>
      </w:pPr>
      <w:r w:rsidRPr="002B1ED0">
        <w:rPr>
          <w:rFonts w:ascii="Arial Narrow" w:hAnsi="Arial Narrow"/>
        </w:rPr>
        <w:t xml:space="preserve">(3) Application method – the means by which the applicant submitted the covered application to the financial institution (online, in-person, etc.). </w:t>
      </w:r>
    </w:p>
    <w:p w14:paraId="7176D6B9" w14:textId="70C35A74" w:rsidR="00FF2AD1" w:rsidRDefault="002B1ED0" w:rsidP="0059598F">
      <w:pPr>
        <w:jc w:val="both"/>
        <w:rPr>
          <w:rFonts w:ascii="Arial Narrow" w:hAnsi="Arial Narrow"/>
        </w:rPr>
      </w:pPr>
      <w:r w:rsidRPr="002B1ED0">
        <w:rPr>
          <w:rFonts w:ascii="Arial Narrow" w:hAnsi="Arial Narrow"/>
        </w:rPr>
        <w:t>(4) Application recipient – whether the applicant submitted the covered application directly</w:t>
      </w:r>
      <w:r w:rsidR="00EE0132">
        <w:rPr>
          <w:rFonts w:ascii="Arial Narrow" w:hAnsi="Arial Narrow"/>
        </w:rPr>
        <w:t xml:space="preserve"> or indirectly</w:t>
      </w:r>
      <w:r w:rsidRPr="002B1ED0">
        <w:rPr>
          <w:rFonts w:ascii="Arial Narrow" w:hAnsi="Arial Narrow"/>
        </w:rPr>
        <w:t xml:space="preserve"> to the financial institution (or affiliate)</w:t>
      </w:r>
      <w:r w:rsidR="00EE0132">
        <w:rPr>
          <w:rFonts w:ascii="Arial Narrow" w:hAnsi="Arial Narrow"/>
        </w:rPr>
        <w:t xml:space="preserve"> </w:t>
      </w:r>
      <w:r w:rsidRPr="002B1ED0">
        <w:rPr>
          <w:rFonts w:ascii="Arial Narrow" w:hAnsi="Arial Narrow"/>
        </w:rPr>
        <w:t>or whether the applicant submitted the covered application indirectly to the financial institution via a third party.</w:t>
      </w:r>
    </w:p>
    <w:p w14:paraId="1171FEEB" w14:textId="51CF1C2E" w:rsidR="00481994" w:rsidRDefault="00481994" w:rsidP="0059598F">
      <w:pPr>
        <w:jc w:val="both"/>
        <w:rPr>
          <w:rFonts w:ascii="Arial Narrow" w:hAnsi="Arial Narrow"/>
        </w:rPr>
      </w:pPr>
      <w:r>
        <w:rPr>
          <w:rFonts w:ascii="Arial Narrow" w:hAnsi="Arial Narrow"/>
        </w:rPr>
        <w:t>(5) Action take</w:t>
      </w:r>
      <w:r w:rsidR="00E61D33">
        <w:rPr>
          <w:rFonts w:ascii="Arial Narrow" w:hAnsi="Arial Narrow"/>
        </w:rPr>
        <w:t>n</w:t>
      </w:r>
      <w:r>
        <w:rPr>
          <w:rFonts w:ascii="Arial Narrow" w:hAnsi="Arial Narrow"/>
        </w:rPr>
        <w:t xml:space="preserve"> by the covered financial institution on the application</w:t>
      </w:r>
      <w:r w:rsidR="00F105D7">
        <w:rPr>
          <w:rFonts w:ascii="Arial Narrow" w:hAnsi="Arial Narrow"/>
        </w:rPr>
        <w:t>; and</w:t>
      </w:r>
    </w:p>
    <w:p w14:paraId="25A9D47F" w14:textId="244194EF" w:rsidR="00F105D7" w:rsidRDefault="00F105D7" w:rsidP="0059598F">
      <w:pPr>
        <w:jc w:val="both"/>
        <w:rPr>
          <w:rFonts w:ascii="Arial Narrow" w:hAnsi="Arial Narrow"/>
        </w:rPr>
      </w:pPr>
      <w:r>
        <w:rPr>
          <w:rFonts w:ascii="Arial Narrow" w:hAnsi="Arial Narrow"/>
        </w:rPr>
        <w:t>(6) Action taken date</w:t>
      </w:r>
    </w:p>
    <w:p w14:paraId="77F2B8ED" w14:textId="0538186D" w:rsidR="00F00244" w:rsidRPr="004272BC" w:rsidRDefault="00DC6706" w:rsidP="0059598F">
      <w:pPr>
        <w:autoSpaceDE w:val="0"/>
        <w:autoSpaceDN w:val="0"/>
        <w:adjustRightInd w:val="0"/>
        <w:jc w:val="both"/>
        <w:rPr>
          <w:rFonts w:ascii="Arial Narrow" w:hAnsi="Arial Narrow" w:cs="Arial"/>
          <w:b/>
          <w:bCs/>
          <w:color w:val="118502"/>
        </w:rPr>
      </w:pPr>
      <w:r>
        <w:rPr>
          <w:rFonts w:ascii="Arial Narrow" w:hAnsi="Arial Narrow" w:cs="Arial"/>
          <w:b/>
          <w:bCs/>
          <w:color w:val="118502"/>
        </w:rPr>
        <w:t xml:space="preserve">Date Points for </w:t>
      </w:r>
      <w:r w:rsidR="00F00244" w:rsidRPr="004272BC">
        <w:rPr>
          <w:rFonts w:ascii="Arial Narrow" w:hAnsi="Arial Narrow" w:cs="Arial"/>
          <w:b/>
          <w:bCs/>
          <w:color w:val="118502"/>
        </w:rPr>
        <w:t>D</w:t>
      </w:r>
      <w:r w:rsidR="00F00244">
        <w:rPr>
          <w:rFonts w:ascii="Arial Narrow" w:hAnsi="Arial Narrow" w:cs="Arial"/>
          <w:b/>
          <w:bCs/>
          <w:color w:val="118502"/>
        </w:rPr>
        <w:t>enied Reportable Applications</w:t>
      </w:r>
    </w:p>
    <w:p w14:paraId="7B0EEC9A" w14:textId="08C36EEE" w:rsidR="005D5955" w:rsidRDefault="00F47BDF" w:rsidP="0059598F">
      <w:pPr>
        <w:jc w:val="both"/>
        <w:rPr>
          <w:rFonts w:ascii="Arial Narrow" w:hAnsi="Arial Narrow"/>
        </w:rPr>
      </w:pPr>
      <w:r>
        <w:rPr>
          <w:rFonts w:ascii="Arial Narrow" w:hAnsi="Arial Narrow"/>
        </w:rPr>
        <w:t xml:space="preserve">There is a </w:t>
      </w:r>
      <w:r w:rsidR="0002791E">
        <w:rPr>
          <w:rFonts w:ascii="Arial Narrow" w:hAnsi="Arial Narrow"/>
        </w:rPr>
        <w:t xml:space="preserve">data point for denied reportable applications – the institution states the </w:t>
      </w:r>
      <w:r w:rsidR="0002791E" w:rsidRPr="0002791E">
        <w:rPr>
          <w:rFonts w:ascii="Arial Narrow" w:hAnsi="Arial Narrow"/>
        </w:rPr>
        <w:t>principal reason(s) the financial institution denied the covered application.</w:t>
      </w:r>
    </w:p>
    <w:p w14:paraId="16CCE0D8" w14:textId="59539D2A" w:rsidR="00DC6706" w:rsidRPr="004272BC" w:rsidRDefault="00DC6706" w:rsidP="0059598F">
      <w:pPr>
        <w:autoSpaceDE w:val="0"/>
        <w:autoSpaceDN w:val="0"/>
        <w:adjustRightInd w:val="0"/>
        <w:jc w:val="both"/>
        <w:rPr>
          <w:rFonts w:ascii="Arial Narrow" w:hAnsi="Arial Narrow" w:cs="Arial"/>
          <w:b/>
          <w:bCs/>
          <w:color w:val="118502"/>
        </w:rPr>
      </w:pPr>
      <w:r w:rsidRPr="004272BC">
        <w:rPr>
          <w:rFonts w:ascii="Arial Narrow" w:hAnsi="Arial Narrow" w:cs="Arial"/>
          <w:b/>
          <w:bCs/>
          <w:color w:val="118502"/>
        </w:rPr>
        <w:t xml:space="preserve">Data Points </w:t>
      </w:r>
      <w:r>
        <w:rPr>
          <w:rFonts w:ascii="Arial Narrow" w:hAnsi="Arial Narrow" w:cs="Arial"/>
          <w:b/>
          <w:bCs/>
          <w:color w:val="118502"/>
        </w:rPr>
        <w:t>for Reportable Applications</w:t>
      </w:r>
      <w:r w:rsidR="00586490">
        <w:rPr>
          <w:rFonts w:ascii="Arial Narrow" w:hAnsi="Arial Narrow" w:cs="Arial"/>
          <w:b/>
          <w:bCs/>
          <w:color w:val="118502"/>
        </w:rPr>
        <w:t xml:space="preserve"> </w:t>
      </w:r>
      <w:r w:rsidR="00D8666B">
        <w:rPr>
          <w:rFonts w:ascii="Arial Narrow" w:hAnsi="Arial Narrow" w:cs="Arial"/>
          <w:b/>
          <w:bCs/>
          <w:color w:val="118502"/>
        </w:rPr>
        <w:t>A</w:t>
      </w:r>
      <w:r w:rsidR="00586490">
        <w:rPr>
          <w:rFonts w:ascii="Arial Narrow" w:hAnsi="Arial Narrow" w:cs="Arial"/>
          <w:b/>
          <w:bCs/>
          <w:color w:val="118502"/>
        </w:rPr>
        <w:t>pproved but not Accepted or that Result in an origination</w:t>
      </w:r>
    </w:p>
    <w:p w14:paraId="060B36BB" w14:textId="4FE9871E" w:rsidR="005D5955" w:rsidRDefault="002F6202" w:rsidP="0059598F">
      <w:pPr>
        <w:jc w:val="both"/>
        <w:rPr>
          <w:rFonts w:ascii="Arial Narrow" w:hAnsi="Arial Narrow"/>
        </w:rPr>
      </w:pPr>
      <w:r>
        <w:rPr>
          <w:rFonts w:ascii="Arial Narrow" w:hAnsi="Arial Narrow"/>
        </w:rPr>
        <w:t>T</w:t>
      </w:r>
      <w:r w:rsidR="005A0E68" w:rsidRPr="005A0E68">
        <w:rPr>
          <w:rFonts w:ascii="Arial Narrow" w:hAnsi="Arial Narrow"/>
        </w:rPr>
        <w:t>here are additional data points for the amount approved or originated and for pricing information. The pricing information includes, as applicable, information regarding the interest rate, total origination charges, broker fees, initial annual charges, additional cost for merchant cash advances or other sales-based financing, and prepayment penalties</w:t>
      </w:r>
      <w:r w:rsidR="000D7410">
        <w:rPr>
          <w:rFonts w:ascii="Arial Narrow" w:hAnsi="Arial Narrow"/>
        </w:rPr>
        <w:t>.</w:t>
      </w:r>
    </w:p>
    <w:p w14:paraId="4CF170ED" w14:textId="0AC80F6F" w:rsidR="000D7410" w:rsidRDefault="00202682" w:rsidP="0059598F">
      <w:pPr>
        <w:jc w:val="both"/>
        <w:rPr>
          <w:rFonts w:ascii="Arial Narrow" w:hAnsi="Arial Narrow" w:cs="Arial"/>
          <w:b/>
          <w:bCs/>
          <w:color w:val="118502"/>
        </w:rPr>
      </w:pPr>
      <w:r>
        <w:rPr>
          <w:rFonts w:ascii="Arial Narrow" w:hAnsi="Arial Narrow" w:cs="Arial"/>
          <w:b/>
          <w:bCs/>
          <w:color w:val="118502"/>
        </w:rPr>
        <w:t xml:space="preserve">Data Points </w:t>
      </w:r>
      <w:r w:rsidR="00924227">
        <w:rPr>
          <w:rFonts w:ascii="Arial Narrow" w:hAnsi="Arial Narrow" w:cs="Arial"/>
          <w:b/>
          <w:bCs/>
          <w:color w:val="118502"/>
        </w:rPr>
        <w:t xml:space="preserve">Collected from Applicant or </w:t>
      </w:r>
      <w:r w:rsidR="00542E98">
        <w:rPr>
          <w:rFonts w:ascii="Arial Narrow" w:hAnsi="Arial Narrow" w:cs="Arial"/>
          <w:b/>
          <w:bCs/>
          <w:color w:val="118502"/>
        </w:rPr>
        <w:t>Third-Party</w:t>
      </w:r>
      <w:r w:rsidR="00924227">
        <w:rPr>
          <w:rFonts w:ascii="Arial Narrow" w:hAnsi="Arial Narrow" w:cs="Arial"/>
          <w:b/>
          <w:bCs/>
          <w:color w:val="118502"/>
        </w:rPr>
        <w:t xml:space="preserve"> Source</w:t>
      </w:r>
    </w:p>
    <w:p w14:paraId="0A9DE9BC" w14:textId="50D770C5" w:rsidR="00294FDC" w:rsidRDefault="002663DA" w:rsidP="0059598F">
      <w:pPr>
        <w:jc w:val="both"/>
        <w:rPr>
          <w:rFonts w:ascii="Arial Narrow" w:hAnsi="Arial Narrow"/>
        </w:rPr>
      </w:pPr>
      <w:r>
        <w:rPr>
          <w:rFonts w:ascii="Arial Narrow" w:hAnsi="Arial Narrow"/>
        </w:rPr>
        <w:t>This is information about the applied for credit and information about the customer’s business</w:t>
      </w:r>
    </w:p>
    <w:p w14:paraId="73BE2601" w14:textId="1C0B5A04" w:rsidR="00294FDC" w:rsidRPr="00771475" w:rsidRDefault="00294FDC" w:rsidP="0059598F">
      <w:pPr>
        <w:pStyle w:val="ListParagraph"/>
        <w:numPr>
          <w:ilvl w:val="0"/>
          <w:numId w:val="7"/>
        </w:numPr>
        <w:jc w:val="both"/>
        <w:rPr>
          <w:rFonts w:ascii="Arial Narrow" w:hAnsi="Arial Narrow"/>
        </w:rPr>
      </w:pPr>
      <w:r w:rsidRPr="00771475">
        <w:rPr>
          <w:rFonts w:ascii="Arial Narrow" w:hAnsi="Arial Narrow"/>
        </w:rPr>
        <w:t>Credit type;</w:t>
      </w:r>
    </w:p>
    <w:p w14:paraId="26DB2075" w14:textId="19164E17" w:rsidR="00294FDC" w:rsidRPr="00771475" w:rsidRDefault="00294FDC" w:rsidP="0059598F">
      <w:pPr>
        <w:pStyle w:val="ListParagraph"/>
        <w:numPr>
          <w:ilvl w:val="0"/>
          <w:numId w:val="7"/>
        </w:numPr>
        <w:jc w:val="both"/>
        <w:rPr>
          <w:rFonts w:ascii="Arial Narrow" w:hAnsi="Arial Narrow"/>
        </w:rPr>
      </w:pPr>
      <w:r w:rsidRPr="00771475">
        <w:rPr>
          <w:rFonts w:ascii="Arial Narrow" w:hAnsi="Arial Narrow"/>
        </w:rPr>
        <w:t>Credit purpose;</w:t>
      </w:r>
    </w:p>
    <w:p w14:paraId="3F78EF03" w14:textId="4B575532" w:rsidR="00294FDC" w:rsidRPr="00771475" w:rsidRDefault="00294FDC" w:rsidP="0059598F">
      <w:pPr>
        <w:pStyle w:val="ListParagraph"/>
        <w:numPr>
          <w:ilvl w:val="0"/>
          <w:numId w:val="7"/>
        </w:numPr>
        <w:jc w:val="both"/>
        <w:rPr>
          <w:rFonts w:ascii="Arial Narrow" w:hAnsi="Arial Narrow"/>
        </w:rPr>
      </w:pPr>
      <w:r w:rsidRPr="00771475">
        <w:rPr>
          <w:rFonts w:ascii="Arial Narrow" w:hAnsi="Arial Narrow"/>
        </w:rPr>
        <w:t>The amount applied for;</w:t>
      </w:r>
    </w:p>
    <w:p w14:paraId="1D761D02" w14:textId="7D13CC06" w:rsidR="00294FDC" w:rsidRPr="00771475" w:rsidRDefault="00294FDC" w:rsidP="0059598F">
      <w:pPr>
        <w:pStyle w:val="ListParagraph"/>
        <w:numPr>
          <w:ilvl w:val="0"/>
          <w:numId w:val="7"/>
        </w:numPr>
        <w:jc w:val="both"/>
        <w:rPr>
          <w:rFonts w:ascii="Arial Narrow" w:hAnsi="Arial Narrow"/>
        </w:rPr>
      </w:pPr>
      <w:r w:rsidRPr="00771475">
        <w:rPr>
          <w:rFonts w:ascii="Arial Narrow" w:hAnsi="Arial Narrow"/>
        </w:rPr>
        <w:t>A census tract based on an address or location provided by the applicant;</w:t>
      </w:r>
    </w:p>
    <w:p w14:paraId="5743A42D" w14:textId="4B8E9C0C" w:rsidR="00294FDC" w:rsidRPr="00771475" w:rsidRDefault="00294FDC" w:rsidP="0059598F">
      <w:pPr>
        <w:pStyle w:val="ListParagraph"/>
        <w:numPr>
          <w:ilvl w:val="0"/>
          <w:numId w:val="7"/>
        </w:numPr>
        <w:jc w:val="both"/>
        <w:rPr>
          <w:rFonts w:ascii="Arial Narrow" w:hAnsi="Arial Narrow"/>
        </w:rPr>
      </w:pPr>
      <w:r w:rsidRPr="00771475">
        <w:rPr>
          <w:rFonts w:ascii="Arial Narrow" w:hAnsi="Arial Narrow"/>
        </w:rPr>
        <w:t>Gross annual revenue for the applicant’s preceding fiscal year;</w:t>
      </w:r>
    </w:p>
    <w:p w14:paraId="58FE3301" w14:textId="43FEF4E6" w:rsidR="00294FDC" w:rsidRPr="00771475" w:rsidRDefault="00294FDC" w:rsidP="0059598F">
      <w:pPr>
        <w:pStyle w:val="ListParagraph"/>
        <w:numPr>
          <w:ilvl w:val="0"/>
          <w:numId w:val="7"/>
        </w:numPr>
        <w:jc w:val="both"/>
        <w:rPr>
          <w:rFonts w:ascii="Arial Narrow" w:hAnsi="Arial Narrow"/>
        </w:rPr>
      </w:pPr>
      <w:r w:rsidRPr="00771475">
        <w:rPr>
          <w:rFonts w:ascii="Arial Narrow" w:hAnsi="Arial Narrow"/>
        </w:rPr>
        <w:t>A three-digit North American Industry Classification System (NAICS) code for the applicant;</w:t>
      </w:r>
    </w:p>
    <w:p w14:paraId="2AF79358" w14:textId="24247C26" w:rsidR="00294FDC" w:rsidRPr="00771475" w:rsidRDefault="00294FDC" w:rsidP="0059598F">
      <w:pPr>
        <w:pStyle w:val="ListParagraph"/>
        <w:numPr>
          <w:ilvl w:val="0"/>
          <w:numId w:val="7"/>
        </w:numPr>
        <w:jc w:val="both"/>
        <w:rPr>
          <w:rFonts w:ascii="Arial Narrow" w:hAnsi="Arial Narrow"/>
        </w:rPr>
      </w:pPr>
      <w:r w:rsidRPr="00771475">
        <w:rPr>
          <w:rFonts w:ascii="Arial Narrow" w:hAnsi="Arial Narrow"/>
        </w:rPr>
        <w:t>The number of people working for the applicant;</w:t>
      </w:r>
    </w:p>
    <w:p w14:paraId="40FD4F49" w14:textId="278AED9B" w:rsidR="00B52E7C" w:rsidRPr="00771475" w:rsidRDefault="00294FDC" w:rsidP="0059598F">
      <w:pPr>
        <w:pStyle w:val="ListParagraph"/>
        <w:numPr>
          <w:ilvl w:val="0"/>
          <w:numId w:val="7"/>
        </w:numPr>
        <w:jc w:val="both"/>
        <w:rPr>
          <w:rFonts w:ascii="Arial Narrow" w:hAnsi="Arial Narrow"/>
        </w:rPr>
      </w:pPr>
      <w:r w:rsidRPr="00771475">
        <w:rPr>
          <w:rFonts w:ascii="Arial Narrow" w:hAnsi="Arial Narrow"/>
        </w:rPr>
        <w:t>The applicant’s time in business; and</w:t>
      </w:r>
    </w:p>
    <w:p w14:paraId="4D111F18" w14:textId="07C678E9" w:rsidR="007A6337" w:rsidRPr="0059598F" w:rsidRDefault="00B52E7C" w:rsidP="0059598F">
      <w:pPr>
        <w:pStyle w:val="ListParagraph"/>
        <w:numPr>
          <w:ilvl w:val="0"/>
          <w:numId w:val="7"/>
        </w:numPr>
        <w:jc w:val="both"/>
        <w:rPr>
          <w:rFonts w:ascii="Arial Narrow" w:hAnsi="Arial Narrow"/>
        </w:rPr>
      </w:pPr>
      <w:r w:rsidRPr="00771475">
        <w:rPr>
          <w:rFonts w:ascii="Arial Narrow" w:hAnsi="Arial Narrow"/>
        </w:rPr>
        <w:t>The number of the applicant’s principal owners.</w:t>
      </w:r>
    </w:p>
    <w:p w14:paraId="72D0E16D" w14:textId="670BDC59" w:rsidR="00294FDC" w:rsidRDefault="00E02707" w:rsidP="0059598F">
      <w:pPr>
        <w:jc w:val="both"/>
        <w:rPr>
          <w:rFonts w:ascii="Arial Narrow" w:hAnsi="Arial Narrow" w:cs="Arial"/>
          <w:b/>
          <w:bCs/>
          <w:color w:val="118502"/>
        </w:rPr>
      </w:pPr>
      <w:r>
        <w:rPr>
          <w:rFonts w:ascii="Arial Narrow" w:hAnsi="Arial Narrow" w:cs="Arial"/>
          <w:b/>
          <w:bCs/>
          <w:color w:val="118502"/>
        </w:rPr>
        <w:t>Data Points Collected on</w:t>
      </w:r>
      <w:r w:rsidR="006961DC">
        <w:rPr>
          <w:rFonts w:ascii="Arial Narrow" w:hAnsi="Arial Narrow" w:cs="Arial"/>
          <w:b/>
          <w:bCs/>
          <w:color w:val="118502"/>
        </w:rPr>
        <w:t xml:space="preserve"> Demographic Information</w:t>
      </w:r>
    </w:p>
    <w:p w14:paraId="688ABF0D" w14:textId="681C2AF2" w:rsidR="006961DC" w:rsidRPr="006961DC" w:rsidRDefault="006961DC" w:rsidP="0059598F">
      <w:pPr>
        <w:pStyle w:val="ListParagraph"/>
        <w:numPr>
          <w:ilvl w:val="0"/>
          <w:numId w:val="6"/>
        </w:numPr>
        <w:jc w:val="both"/>
        <w:rPr>
          <w:rFonts w:ascii="Arial Narrow" w:hAnsi="Arial Narrow"/>
        </w:rPr>
      </w:pPr>
      <w:r w:rsidRPr="006961DC">
        <w:rPr>
          <w:rFonts w:ascii="Arial Narrow" w:hAnsi="Arial Narrow"/>
        </w:rPr>
        <w:t>The applicant’s minority-owned business status, women-owned business status, and LGBTQI+-owned business status; and</w:t>
      </w:r>
    </w:p>
    <w:p w14:paraId="64453DEE" w14:textId="4DE967C7" w:rsidR="006961DC" w:rsidRDefault="006961DC" w:rsidP="0059598F">
      <w:pPr>
        <w:pStyle w:val="ListParagraph"/>
        <w:numPr>
          <w:ilvl w:val="0"/>
          <w:numId w:val="6"/>
        </w:numPr>
        <w:jc w:val="both"/>
        <w:rPr>
          <w:rFonts w:ascii="Arial Narrow" w:hAnsi="Arial Narrow"/>
        </w:rPr>
      </w:pPr>
      <w:r w:rsidRPr="006961DC">
        <w:rPr>
          <w:rFonts w:ascii="Arial Narrow" w:hAnsi="Arial Narrow"/>
        </w:rPr>
        <w:t>The applicant’s principal owners’ ethnicity, race, and sex.</w:t>
      </w:r>
    </w:p>
    <w:p w14:paraId="64268107" w14:textId="64193EE3" w:rsidR="00AB0A0D" w:rsidRDefault="00AB0A0D" w:rsidP="0059598F">
      <w:pPr>
        <w:pStyle w:val="ListParagraph"/>
        <w:jc w:val="both"/>
        <w:rPr>
          <w:rFonts w:ascii="Arial Narrow" w:hAnsi="Arial Narrow"/>
        </w:rPr>
      </w:pPr>
    </w:p>
    <w:p w14:paraId="378E65CE" w14:textId="77777777" w:rsidR="0059598F" w:rsidRDefault="0059598F" w:rsidP="0059598F">
      <w:pPr>
        <w:pStyle w:val="ListParagraph"/>
        <w:jc w:val="both"/>
        <w:rPr>
          <w:rFonts w:ascii="Arial Narrow" w:hAnsi="Arial Narrow"/>
        </w:rPr>
      </w:pPr>
    </w:p>
    <w:p w14:paraId="0E3F1C01" w14:textId="27253A03" w:rsidR="00AB0A0D" w:rsidRDefault="00AB0A0D" w:rsidP="0059598F">
      <w:pPr>
        <w:pStyle w:val="ListParagraph"/>
        <w:jc w:val="both"/>
        <w:rPr>
          <w:rFonts w:ascii="Arial Narrow" w:hAnsi="Arial Narrow"/>
        </w:rPr>
      </w:pPr>
      <w:r w:rsidRPr="00AB0A0D">
        <w:rPr>
          <w:rFonts w:ascii="Arial Narrow" w:hAnsi="Arial Narrow"/>
        </w:rPr>
        <w:lastRenderedPageBreak/>
        <w:t>A covered financial institution is required to ask an applicant to provide this demographic information, and to report the demographic information solely based on the responses that the applicant provides for purposes</w:t>
      </w:r>
      <w:r w:rsidR="009562CB">
        <w:rPr>
          <w:rFonts w:ascii="Arial Narrow" w:hAnsi="Arial Narrow"/>
        </w:rPr>
        <w:t xml:space="preserve"> </w:t>
      </w:r>
      <w:r w:rsidRPr="00AB0A0D">
        <w:rPr>
          <w:rFonts w:ascii="Arial Narrow" w:hAnsi="Arial Narrow"/>
        </w:rPr>
        <w:t xml:space="preserve">of the final rule. However, a covered financial institution </w:t>
      </w:r>
      <w:r w:rsidRPr="00583F1E">
        <w:rPr>
          <w:rFonts w:ascii="Arial Narrow" w:hAnsi="Arial Narrow"/>
          <w:b/>
          <w:bCs/>
        </w:rPr>
        <w:t>cannot require an applicant or other person to provide this demographic information</w:t>
      </w:r>
      <w:r w:rsidRPr="00AB0A0D">
        <w:rPr>
          <w:rFonts w:ascii="Arial Narrow" w:hAnsi="Arial Narrow"/>
        </w:rPr>
        <w:t>. If the applicant fails or declines to provide the demographic information necessary to report a data point, the financial institution reports the failure or refusal to provide the information. Financial institutions are not required or permitted to report these data points based on visual observation, surname, or any other basis (including demographic information provided for other purposes).</w:t>
      </w:r>
    </w:p>
    <w:p w14:paraId="367EA1EE" w14:textId="297655BF" w:rsidR="00AD73E7" w:rsidRPr="009562CB" w:rsidRDefault="00AD73E7" w:rsidP="0059598F">
      <w:pPr>
        <w:jc w:val="both"/>
        <w:rPr>
          <w:rFonts w:ascii="Arial Narrow" w:hAnsi="Arial Narrow" w:cs="Arial"/>
          <w:b/>
          <w:bCs/>
          <w:color w:val="118502"/>
        </w:rPr>
      </w:pPr>
      <w:r w:rsidRPr="009562CB">
        <w:rPr>
          <w:rFonts w:ascii="Arial Narrow" w:hAnsi="Arial Narrow" w:cs="Arial"/>
          <w:b/>
          <w:bCs/>
          <w:color w:val="118502"/>
        </w:rPr>
        <w:t>Discrimination Notice</w:t>
      </w:r>
    </w:p>
    <w:p w14:paraId="388ECA59" w14:textId="77777777" w:rsidR="00AA5FE9" w:rsidRDefault="009562CB" w:rsidP="0059598F">
      <w:pPr>
        <w:jc w:val="both"/>
        <w:rPr>
          <w:rFonts w:ascii="Arial Narrow" w:hAnsi="Arial Narrow"/>
        </w:rPr>
      </w:pPr>
      <w:r>
        <w:rPr>
          <w:rFonts w:ascii="Arial Narrow" w:hAnsi="Arial Narrow"/>
        </w:rPr>
        <w:t xml:space="preserve">The institution must </w:t>
      </w:r>
      <w:r w:rsidR="004D723B" w:rsidRPr="004D723B">
        <w:rPr>
          <w:rFonts w:ascii="Arial Narrow" w:hAnsi="Arial Narrow"/>
        </w:rPr>
        <w:t>inform an applicant that the financial institution is not permitted to discriminate</w:t>
      </w:r>
      <w:r w:rsidR="00AA5FE9">
        <w:rPr>
          <w:rFonts w:ascii="Arial Narrow" w:hAnsi="Arial Narrow"/>
        </w:rPr>
        <w:t>:</w:t>
      </w:r>
    </w:p>
    <w:p w14:paraId="00FA90D2" w14:textId="77777777" w:rsidR="00AA5FE9" w:rsidRDefault="004D723B" w:rsidP="0059598F">
      <w:pPr>
        <w:pStyle w:val="ListParagraph"/>
        <w:numPr>
          <w:ilvl w:val="0"/>
          <w:numId w:val="6"/>
        </w:numPr>
        <w:jc w:val="both"/>
        <w:rPr>
          <w:rFonts w:ascii="Arial Narrow" w:hAnsi="Arial Narrow"/>
        </w:rPr>
      </w:pPr>
      <w:r w:rsidRPr="00AA5FE9">
        <w:rPr>
          <w:rFonts w:ascii="Arial Narrow" w:hAnsi="Arial Narrow"/>
        </w:rPr>
        <w:t xml:space="preserve">on the basis of an applicant’s responses about its minority-owned, women-owned, or LGBTQI+-owned business status, </w:t>
      </w:r>
    </w:p>
    <w:p w14:paraId="38D3E930" w14:textId="77777777" w:rsidR="00AA5FE9" w:rsidRDefault="004D723B" w:rsidP="0059598F">
      <w:pPr>
        <w:pStyle w:val="ListParagraph"/>
        <w:numPr>
          <w:ilvl w:val="0"/>
          <w:numId w:val="6"/>
        </w:numPr>
        <w:jc w:val="both"/>
        <w:rPr>
          <w:rFonts w:ascii="Arial Narrow" w:hAnsi="Arial Narrow"/>
        </w:rPr>
      </w:pPr>
      <w:r w:rsidRPr="00AA5FE9">
        <w:rPr>
          <w:rFonts w:ascii="Arial Narrow" w:hAnsi="Arial Narrow"/>
        </w:rPr>
        <w:t xml:space="preserve">on the basis of responses about any principal owner’s ethnicity, race, or sex, or </w:t>
      </w:r>
    </w:p>
    <w:p w14:paraId="53897404" w14:textId="77777777" w:rsidR="00AA5FE9" w:rsidRDefault="004D723B" w:rsidP="0059598F">
      <w:pPr>
        <w:pStyle w:val="ListParagraph"/>
        <w:numPr>
          <w:ilvl w:val="0"/>
          <w:numId w:val="6"/>
        </w:numPr>
        <w:jc w:val="both"/>
        <w:rPr>
          <w:rFonts w:ascii="Arial Narrow" w:hAnsi="Arial Narrow"/>
        </w:rPr>
      </w:pPr>
      <w:r w:rsidRPr="00AA5FE9">
        <w:rPr>
          <w:rFonts w:ascii="Arial Narrow" w:hAnsi="Arial Narrow"/>
        </w:rPr>
        <w:t xml:space="preserve">on the basis of whether the applicant provides this information. </w:t>
      </w:r>
    </w:p>
    <w:p w14:paraId="3BC44E50" w14:textId="11791D53" w:rsidR="00AD73E7" w:rsidRDefault="004D723B" w:rsidP="0059598F">
      <w:pPr>
        <w:jc w:val="both"/>
        <w:rPr>
          <w:rFonts w:ascii="Arial Narrow" w:hAnsi="Arial Narrow"/>
        </w:rPr>
      </w:pPr>
      <w:r w:rsidRPr="00597277">
        <w:rPr>
          <w:rFonts w:ascii="Arial Narrow" w:hAnsi="Arial Narrow"/>
        </w:rPr>
        <w:t>Covered financial institutions also must inform an applicant that the applicant is not required to answer the financial institution’s inquiry about the applicant’s minority-owned, women-owned, and LGBTQI+-owned business statuses, or the inquiries about the principal owners’ ethnicity, race, or sex.</w:t>
      </w:r>
    </w:p>
    <w:p w14:paraId="6E66AF2C" w14:textId="508FB114" w:rsidR="007B7576" w:rsidRDefault="00565A5D" w:rsidP="0059598F">
      <w:pPr>
        <w:jc w:val="both"/>
        <w:rPr>
          <w:rFonts w:ascii="Arial Narrow" w:hAnsi="Arial Narrow" w:cs="Arial"/>
          <w:b/>
          <w:bCs/>
          <w:color w:val="118502"/>
        </w:rPr>
      </w:pPr>
      <w:r>
        <w:rPr>
          <w:rFonts w:ascii="Arial Narrow" w:hAnsi="Arial Narrow" w:cs="Arial"/>
          <w:b/>
          <w:bCs/>
          <w:color w:val="118502"/>
        </w:rPr>
        <w:t>Sample Data Collection Form</w:t>
      </w:r>
    </w:p>
    <w:p w14:paraId="338928F4" w14:textId="74DB4330" w:rsidR="00565A5D" w:rsidRDefault="00D518FA" w:rsidP="0059598F">
      <w:pPr>
        <w:jc w:val="both"/>
        <w:rPr>
          <w:rFonts w:ascii="Arial Narrow" w:hAnsi="Arial Narrow"/>
        </w:rPr>
      </w:pPr>
      <w:r w:rsidRPr="00D518FA">
        <w:rPr>
          <w:rFonts w:ascii="Arial Narrow" w:hAnsi="Arial Narrow"/>
        </w:rPr>
        <w:t>The final rule includes a sample data collection form that covered financial institutions can use to collect this demographic information from applicants and to provide these required notices. As illustrated in this form, covered financial institutions, generally, must collect principal owners’ ethnicity and race using aggregate categories and disaggregated subcategories. Covered financial institutions must allow applicants autonomy to describe a principal owner’s sex through free-form text or a verbal self-description.</w:t>
      </w:r>
    </w:p>
    <w:p w14:paraId="1AAD6D38" w14:textId="7746A1F6" w:rsidR="00EE3B6A" w:rsidRDefault="00EE3B6A" w:rsidP="0059598F">
      <w:pPr>
        <w:jc w:val="both"/>
        <w:rPr>
          <w:rFonts w:ascii="Arial Narrow" w:hAnsi="Arial Narrow" w:cs="Arial"/>
          <w:b/>
          <w:bCs/>
          <w:color w:val="118502"/>
        </w:rPr>
      </w:pPr>
      <w:r>
        <w:rPr>
          <w:rFonts w:ascii="Arial Narrow" w:hAnsi="Arial Narrow" w:cs="Arial"/>
          <w:b/>
          <w:bCs/>
          <w:color w:val="118502"/>
        </w:rPr>
        <w:t>Discouragement</w:t>
      </w:r>
    </w:p>
    <w:p w14:paraId="30748552" w14:textId="1845AE64" w:rsidR="006148DD" w:rsidRDefault="00E6792F" w:rsidP="0059598F">
      <w:pPr>
        <w:jc w:val="both"/>
        <w:rPr>
          <w:rFonts w:ascii="Arial Narrow" w:hAnsi="Arial Narrow"/>
        </w:rPr>
      </w:pPr>
      <w:r w:rsidRPr="00E6792F">
        <w:rPr>
          <w:rFonts w:ascii="Arial Narrow" w:hAnsi="Arial Narrow"/>
        </w:rPr>
        <w:t>Covered financial institutions cannot discourage applicants from responding to requests for applicant-provided data and must maintain procedures to collect applicant-provided data at a time and in a manner that are reasonably designed to obtain a response. With regard to data collected directly from an applicant, these procedures must, at a minimum, have provisions to ensure that:</w:t>
      </w:r>
    </w:p>
    <w:p w14:paraId="1A3B83E9" w14:textId="77777777" w:rsidR="006148DD" w:rsidRDefault="00E6792F" w:rsidP="0059598F">
      <w:pPr>
        <w:pStyle w:val="ListParagraph"/>
        <w:numPr>
          <w:ilvl w:val="0"/>
          <w:numId w:val="6"/>
        </w:numPr>
        <w:jc w:val="both"/>
        <w:rPr>
          <w:rFonts w:ascii="Arial Narrow" w:hAnsi="Arial Narrow"/>
        </w:rPr>
      </w:pPr>
      <w:r w:rsidRPr="006148DD">
        <w:rPr>
          <w:rFonts w:ascii="Arial Narrow" w:hAnsi="Arial Narrow"/>
        </w:rPr>
        <w:t>The initial request for applicant-provided data occurs prior to notifying an applicant of the final action taken on an application;</w:t>
      </w:r>
    </w:p>
    <w:p w14:paraId="217DAD66" w14:textId="77777777" w:rsidR="006148DD" w:rsidRDefault="00E6792F" w:rsidP="0059598F">
      <w:pPr>
        <w:pStyle w:val="ListParagraph"/>
        <w:numPr>
          <w:ilvl w:val="0"/>
          <w:numId w:val="6"/>
        </w:numPr>
        <w:jc w:val="both"/>
        <w:rPr>
          <w:rFonts w:ascii="Arial Narrow" w:hAnsi="Arial Narrow"/>
        </w:rPr>
      </w:pPr>
      <w:r w:rsidRPr="006148DD">
        <w:rPr>
          <w:rFonts w:ascii="Arial Narrow" w:hAnsi="Arial Narrow"/>
        </w:rPr>
        <w:t>The request for applicant-provided data is prominently displayed and presented;</w:t>
      </w:r>
    </w:p>
    <w:p w14:paraId="36ED16B3" w14:textId="77777777" w:rsidR="006148DD" w:rsidRDefault="00E6792F" w:rsidP="0059598F">
      <w:pPr>
        <w:pStyle w:val="ListParagraph"/>
        <w:numPr>
          <w:ilvl w:val="0"/>
          <w:numId w:val="6"/>
        </w:numPr>
        <w:jc w:val="both"/>
        <w:rPr>
          <w:rFonts w:ascii="Arial Narrow" w:hAnsi="Arial Narrow"/>
        </w:rPr>
      </w:pPr>
      <w:r w:rsidRPr="006148DD">
        <w:rPr>
          <w:rFonts w:ascii="Arial Narrow" w:hAnsi="Arial Narrow"/>
        </w:rPr>
        <w:t>Applicants are not discouraged from responding to such requests; and</w:t>
      </w:r>
    </w:p>
    <w:p w14:paraId="19515051" w14:textId="66647518" w:rsidR="00E6792F" w:rsidRPr="006148DD" w:rsidRDefault="00E6792F" w:rsidP="0059598F">
      <w:pPr>
        <w:pStyle w:val="ListParagraph"/>
        <w:numPr>
          <w:ilvl w:val="0"/>
          <w:numId w:val="6"/>
        </w:numPr>
        <w:jc w:val="both"/>
        <w:rPr>
          <w:rFonts w:ascii="Arial Narrow" w:hAnsi="Arial Narrow"/>
        </w:rPr>
      </w:pPr>
      <w:r w:rsidRPr="006148DD">
        <w:rPr>
          <w:rFonts w:ascii="Arial Narrow" w:hAnsi="Arial Narrow"/>
        </w:rPr>
        <w:t>Applicants can easily respond to such requests.</w:t>
      </w:r>
    </w:p>
    <w:p w14:paraId="222084FE" w14:textId="5ACF2900" w:rsidR="00647990" w:rsidRDefault="00E6792F" w:rsidP="0059598F">
      <w:pPr>
        <w:jc w:val="both"/>
        <w:rPr>
          <w:rFonts w:ascii="Arial Narrow" w:hAnsi="Arial Narrow"/>
        </w:rPr>
      </w:pPr>
      <w:r w:rsidRPr="00E6792F">
        <w:rPr>
          <w:rFonts w:ascii="Arial Narrow" w:hAnsi="Arial Narrow"/>
        </w:rPr>
        <w:t>Additionally, covered financial institutions must maintain procedures to identify and respond to signs of potential discouragement, including low response rates for applicant-provided data. The final rule notes that low response rates may indicate discouragement or another failure by a covered financial institution to maintain procedures to collect applicant-provided data at a time and in a manner that are reasonably designed to obtain a response.</w:t>
      </w:r>
      <w:r w:rsidR="00647990" w:rsidRPr="00647990">
        <w:t xml:space="preserve"> </w:t>
      </w:r>
      <w:r w:rsidR="00647990" w:rsidRPr="00647990">
        <w:rPr>
          <w:rFonts w:ascii="Arial Narrow" w:hAnsi="Arial Narrow"/>
        </w:rPr>
        <w:t xml:space="preserve">The final rule </w:t>
      </w:r>
      <w:r w:rsidR="00647990" w:rsidRPr="00647990">
        <w:rPr>
          <w:rFonts w:ascii="Arial Narrow" w:hAnsi="Arial Narrow"/>
        </w:rPr>
        <w:lastRenderedPageBreak/>
        <w:t>also addresses how a covered financial institution should report certain data if, despite having such procedures in place, it is unable to obtain the data from an applicant.</w:t>
      </w:r>
    </w:p>
    <w:p w14:paraId="19ECC549" w14:textId="0CC7F3C3" w:rsidR="00902E45" w:rsidRDefault="00902E45" w:rsidP="0059598F">
      <w:pPr>
        <w:jc w:val="both"/>
        <w:rPr>
          <w:rFonts w:ascii="Arial Narrow" w:hAnsi="Arial Narrow" w:cs="Arial"/>
          <w:b/>
          <w:bCs/>
          <w:color w:val="118502"/>
        </w:rPr>
      </w:pPr>
      <w:r>
        <w:rPr>
          <w:rFonts w:ascii="Arial Narrow" w:hAnsi="Arial Narrow" w:cs="Arial"/>
          <w:b/>
          <w:bCs/>
          <w:color w:val="118502"/>
        </w:rPr>
        <w:t>Reliance and Reuse of Data</w:t>
      </w:r>
    </w:p>
    <w:p w14:paraId="175E0492" w14:textId="5C75E4E7" w:rsidR="009E709D" w:rsidRPr="009E709D" w:rsidRDefault="009E709D" w:rsidP="0059598F">
      <w:pPr>
        <w:jc w:val="both"/>
        <w:rPr>
          <w:rFonts w:ascii="Arial Narrow" w:hAnsi="Arial Narrow" w:cs="Arial"/>
        </w:rPr>
      </w:pPr>
      <w:r w:rsidRPr="009E709D">
        <w:rPr>
          <w:rFonts w:ascii="Arial Narrow" w:hAnsi="Arial Narrow" w:cs="Arial"/>
        </w:rPr>
        <w:t xml:space="preserve">Covered financial institutions are permitted to rely on information provided by an applicant or appropriate third-party source, </w:t>
      </w:r>
      <w:r w:rsidR="00F86E2C">
        <w:rPr>
          <w:rFonts w:ascii="Arial Narrow" w:hAnsi="Arial Narrow" w:cs="Arial"/>
        </w:rPr>
        <w:t xml:space="preserve">where applicable, </w:t>
      </w:r>
      <w:r w:rsidRPr="009E709D">
        <w:rPr>
          <w:rFonts w:ascii="Arial Narrow" w:hAnsi="Arial Narrow" w:cs="Arial"/>
        </w:rPr>
        <w:t>but a covered financial institution is required to report verified information if it chooses to verify applicant-provided information.</w:t>
      </w:r>
    </w:p>
    <w:p w14:paraId="3DE7A3B3" w14:textId="77777777" w:rsidR="009E709D" w:rsidRDefault="009E709D" w:rsidP="0059598F">
      <w:pPr>
        <w:jc w:val="both"/>
        <w:rPr>
          <w:rFonts w:ascii="Arial Narrow" w:hAnsi="Arial Narrow" w:cs="Arial"/>
        </w:rPr>
      </w:pPr>
      <w:r w:rsidRPr="009E709D">
        <w:rPr>
          <w:rFonts w:ascii="Arial Narrow" w:hAnsi="Arial Narrow" w:cs="Arial"/>
        </w:rPr>
        <w:t xml:space="preserve">The final rule permits the reuse of certain previously collected applicant-provided data in certain circumstances. Generally, a covered financial institution is permitted, but not required, to reuse certain previously collected applicant-provided data to satisfy the requirement to collect and report certain data points if: </w:t>
      </w:r>
    </w:p>
    <w:p w14:paraId="769FF8EC" w14:textId="564E0A33" w:rsidR="00E80464" w:rsidRDefault="006A19FD" w:rsidP="0059598F">
      <w:pPr>
        <w:pStyle w:val="ListParagraph"/>
        <w:numPr>
          <w:ilvl w:val="0"/>
          <w:numId w:val="6"/>
        </w:numPr>
        <w:jc w:val="both"/>
        <w:rPr>
          <w:rFonts w:ascii="Arial Narrow" w:hAnsi="Arial Narrow" w:cs="Arial"/>
        </w:rPr>
      </w:pPr>
      <w:r>
        <w:rPr>
          <w:rFonts w:ascii="Arial Narrow" w:hAnsi="Arial Narrow" w:cs="Arial"/>
        </w:rPr>
        <w:t>T</w:t>
      </w:r>
      <w:r w:rsidR="009E709D" w:rsidRPr="009E709D">
        <w:rPr>
          <w:rFonts w:ascii="Arial Narrow" w:hAnsi="Arial Narrow" w:cs="Arial"/>
        </w:rPr>
        <w:t>he data were collected within thirty-six months of the current covered application (except that gross annual revenue must have been collected within the same</w:t>
      </w:r>
      <w:r w:rsidR="00E80464">
        <w:rPr>
          <w:rFonts w:ascii="Arial Narrow" w:hAnsi="Arial Narrow" w:cs="Arial"/>
        </w:rPr>
        <w:t xml:space="preserve"> </w:t>
      </w:r>
      <w:r w:rsidR="00E80464" w:rsidRPr="00E80464">
        <w:rPr>
          <w:rFonts w:ascii="Arial Narrow" w:hAnsi="Arial Narrow" w:cs="Arial"/>
        </w:rPr>
        <w:t>calendar year as the current covered application); and</w:t>
      </w:r>
    </w:p>
    <w:p w14:paraId="6E0EB7B2" w14:textId="0BA06D4E" w:rsidR="00E80464" w:rsidRDefault="006A19FD" w:rsidP="0059598F">
      <w:pPr>
        <w:pStyle w:val="ListParagraph"/>
        <w:numPr>
          <w:ilvl w:val="0"/>
          <w:numId w:val="6"/>
        </w:numPr>
        <w:jc w:val="both"/>
        <w:rPr>
          <w:rFonts w:ascii="Arial Narrow" w:hAnsi="Arial Narrow" w:cs="Arial"/>
        </w:rPr>
      </w:pPr>
      <w:r>
        <w:rPr>
          <w:rFonts w:ascii="Arial Narrow" w:hAnsi="Arial Narrow" w:cs="Arial"/>
        </w:rPr>
        <w:t>T</w:t>
      </w:r>
      <w:r w:rsidR="00E80464" w:rsidRPr="00E80464">
        <w:rPr>
          <w:rFonts w:ascii="Arial Narrow" w:hAnsi="Arial Narrow" w:cs="Arial"/>
        </w:rPr>
        <w:t xml:space="preserve">he financial institution has no reason to believe the data are inaccurate. </w:t>
      </w:r>
    </w:p>
    <w:p w14:paraId="6DDF47FE" w14:textId="4B4E58E6" w:rsidR="00902E45" w:rsidRDefault="00E80464" w:rsidP="0059598F">
      <w:pPr>
        <w:jc w:val="both"/>
        <w:rPr>
          <w:rFonts w:ascii="Arial Narrow" w:hAnsi="Arial Narrow" w:cs="Arial"/>
        </w:rPr>
      </w:pPr>
      <w:r w:rsidRPr="00E80464">
        <w:rPr>
          <w:rFonts w:ascii="Arial Narrow" w:hAnsi="Arial Narrow" w:cs="Arial"/>
        </w:rPr>
        <w:t>A covered financial institution that decides to reuse previously collected data to report the time in business data point must update the previously collected data to reflect the passage of time since that data was collected. A covered financial institution may only reuse previously collected demographic information—data regarding the applicant’s minority-owned, women-owned, and LGBTQI+-owned business statuses or data regarding the principal owners’ ethnicity, race, or sex—if the data were previously collected pursuant to the final rule.</w:t>
      </w:r>
    </w:p>
    <w:p w14:paraId="5A8A8485" w14:textId="68DBEA79" w:rsidR="00E97D7B" w:rsidRDefault="00E97D7B" w:rsidP="0059598F">
      <w:pPr>
        <w:autoSpaceDE w:val="0"/>
        <w:autoSpaceDN w:val="0"/>
        <w:adjustRightInd w:val="0"/>
        <w:jc w:val="both"/>
        <w:rPr>
          <w:rFonts w:ascii="Arial Narrow" w:hAnsi="Arial Narrow" w:cs="Arial"/>
          <w:b/>
          <w:bCs/>
          <w:color w:val="118502"/>
          <w:sz w:val="28"/>
          <w:szCs w:val="28"/>
        </w:rPr>
      </w:pPr>
      <w:r w:rsidRPr="00FC4E98">
        <w:rPr>
          <w:rFonts w:ascii="Arial Narrow" w:hAnsi="Arial Narrow" w:cs="Arial"/>
          <w:b/>
          <w:bCs/>
          <w:color w:val="118502"/>
          <w:sz w:val="28"/>
          <w:szCs w:val="28"/>
        </w:rPr>
        <w:t>Requirements to Report Data to the CFPB and Provisions Regarding Availability and Publication of Data</w:t>
      </w:r>
    </w:p>
    <w:p w14:paraId="1637A0DC" w14:textId="2C76D515" w:rsidR="00682BFC" w:rsidRDefault="00041B45" w:rsidP="0059598F">
      <w:pPr>
        <w:autoSpaceDE w:val="0"/>
        <w:autoSpaceDN w:val="0"/>
        <w:adjustRightInd w:val="0"/>
        <w:jc w:val="both"/>
        <w:rPr>
          <w:rFonts w:ascii="Arial Narrow" w:hAnsi="Arial Narrow"/>
        </w:rPr>
      </w:pPr>
      <w:r>
        <w:rPr>
          <w:rFonts w:ascii="Arial Narrow" w:hAnsi="Arial Narrow"/>
        </w:rPr>
        <w:t>D</w:t>
      </w:r>
      <w:r w:rsidR="00682BFC" w:rsidRPr="00682BFC">
        <w:rPr>
          <w:rFonts w:ascii="Arial Narrow" w:hAnsi="Arial Narrow"/>
        </w:rPr>
        <w:t xml:space="preserve">ata </w:t>
      </w:r>
      <w:r>
        <w:rPr>
          <w:rFonts w:ascii="Arial Narrow" w:hAnsi="Arial Narrow"/>
        </w:rPr>
        <w:t>will be</w:t>
      </w:r>
      <w:r w:rsidR="00682BFC" w:rsidRPr="00682BFC">
        <w:rPr>
          <w:rFonts w:ascii="Arial Narrow" w:hAnsi="Arial Narrow"/>
        </w:rPr>
        <w:t xml:space="preserve"> collected on a calendar year basis and reported to the Bureau by June 1 of the following year. Only one report should be submitted per origination. If more than one financial institution is involved in the origination of a covered credit transaction, the financial institution that makes the final credit decision approving the application shall report the loan as an origination. </w:t>
      </w:r>
      <w:r w:rsidR="00435430" w:rsidRPr="00435430">
        <w:rPr>
          <w:rFonts w:ascii="Arial Narrow" w:hAnsi="Arial Narrow"/>
        </w:rPr>
        <w:t xml:space="preserve">Covered financial institutions submitting data to the CFPB must provide certain identifying information about themselves as part of their submissions. The CFPB has provided a Filing Instructions Guide, which contains additional information regarding the submission of data. It is available at </w:t>
      </w:r>
      <w:hyperlink r:id="rId10" w:history="1">
        <w:r w:rsidR="003146FC" w:rsidRPr="0060151F">
          <w:rPr>
            <w:rStyle w:val="Hyperlink"/>
            <w:rFonts w:ascii="Arial Narrow" w:hAnsi="Arial Narrow"/>
          </w:rPr>
          <w:t>https://www.consumerfinance.gov/data-research/small-business-lending/filing-instructions-guide/</w:t>
        </w:r>
      </w:hyperlink>
      <w:r w:rsidR="00435430" w:rsidRPr="00435430">
        <w:rPr>
          <w:rFonts w:ascii="Arial Narrow" w:hAnsi="Arial Narrow"/>
        </w:rPr>
        <w:t>.</w:t>
      </w:r>
    </w:p>
    <w:p w14:paraId="35AA0275" w14:textId="77777777" w:rsidR="00BD6C43" w:rsidRPr="00BD6C43" w:rsidRDefault="00BD6C43" w:rsidP="0059598F">
      <w:pPr>
        <w:autoSpaceDE w:val="0"/>
        <w:autoSpaceDN w:val="0"/>
        <w:adjustRightInd w:val="0"/>
        <w:jc w:val="both"/>
        <w:rPr>
          <w:rFonts w:ascii="Arial Narrow" w:hAnsi="Arial Narrow"/>
        </w:rPr>
      </w:pPr>
      <w:r w:rsidRPr="00BD6C43">
        <w:rPr>
          <w:rFonts w:ascii="Arial Narrow" w:hAnsi="Arial Narrow"/>
        </w:rPr>
        <w:t xml:space="preserve">Subject to certain modifications or deletions that the CFPB determines would advance a privacy interest, data that financial institutions submit to the CFPB will be made available to the public on an annual basis. The CFPB will determine what, if any, </w:t>
      </w:r>
      <w:proofErr w:type="gramStart"/>
      <w:r w:rsidRPr="00BD6C43">
        <w:rPr>
          <w:rFonts w:ascii="Arial Narrow" w:hAnsi="Arial Narrow"/>
        </w:rPr>
        <w:t>modifications</w:t>
      </w:r>
      <w:proofErr w:type="gramEnd"/>
      <w:r w:rsidRPr="00BD6C43">
        <w:rPr>
          <w:rFonts w:ascii="Arial Narrow" w:hAnsi="Arial Narrow"/>
        </w:rPr>
        <w:t xml:space="preserve"> and deletions are appropriate after it obtains a full year of data. The CFPB will announce the specific timing and method for issuing these determinations at a later date. Additionally, the CFPB anticipates that it will release higher-level, aggregate data before releasing application-level data. Any publication of aggregate data will be dependent on multiple factors, including privacy considerations, the volume of data received, and trends in the data received.</w:t>
      </w:r>
    </w:p>
    <w:p w14:paraId="0E6129EF" w14:textId="77777777" w:rsidR="0059598F" w:rsidRDefault="0059598F" w:rsidP="0059598F">
      <w:pPr>
        <w:autoSpaceDE w:val="0"/>
        <w:autoSpaceDN w:val="0"/>
        <w:adjustRightInd w:val="0"/>
        <w:jc w:val="both"/>
        <w:rPr>
          <w:rFonts w:ascii="Arial Narrow" w:hAnsi="Arial Narrow"/>
        </w:rPr>
      </w:pPr>
    </w:p>
    <w:p w14:paraId="4B4347A1" w14:textId="77777777" w:rsidR="0059598F" w:rsidRDefault="0059598F" w:rsidP="0059598F">
      <w:pPr>
        <w:autoSpaceDE w:val="0"/>
        <w:autoSpaceDN w:val="0"/>
        <w:adjustRightInd w:val="0"/>
        <w:jc w:val="both"/>
        <w:rPr>
          <w:rFonts w:ascii="Arial Narrow" w:hAnsi="Arial Narrow"/>
        </w:rPr>
      </w:pPr>
    </w:p>
    <w:p w14:paraId="3AC6951F" w14:textId="40926541" w:rsidR="00BD6C43" w:rsidRDefault="00BD6C43" w:rsidP="0059598F">
      <w:pPr>
        <w:autoSpaceDE w:val="0"/>
        <w:autoSpaceDN w:val="0"/>
        <w:adjustRightInd w:val="0"/>
        <w:jc w:val="both"/>
        <w:rPr>
          <w:rFonts w:ascii="Arial Narrow" w:hAnsi="Arial Narrow"/>
        </w:rPr>
      </w:pPr>
      <w:r w:rsidRPr="00BD6C43">
        <w:rPr>
          <w:rFonts w:ascii="Arial Narrow" w:hAnsi="Arial Narrow"/>
        </w:rPr>
        <w:lastRenderedPageBreak/>
        <w:t>The CFPB’s publication of data will satisfy covered financial institutions’ statutory obligation to make data available to the public upon request. More specifically, the final rule provides that a covered financial institution is required to make available to the public on its website, or otherwise upon request, a statement that the covered financial institution’s small business lending application register, as modified by the CFPB, is or will be available from the CFPB. The final rule includes language that a covered financial institution could use for this statement.</w:t>
      </w:r>
    </w:p>
    <w:p w14:paraId="47E99D17" w14:textId="57BF2429" w:rsidR="00E97D7B" w:rsidRDefault="00E97D7B" w:rsidP="0059598F">
      <w:pPr>
        <w:autoSpaceDE w:val="0"/>
        <w:autoSpaceDN w:val="0"/>
        <w:adjustRightInd w:val="0"/>
        <w:jc w:val="both"/>
        <w:rPr>
          <w:rFonts w:ascii="Arial Narrow" w:hAnsi="Arial Narrow" w:cs="Arial"/>
          <w:b/>
          <w:bCs/>
          <w:color w:val="118502"/>
          <w:sz w:val="28"/>
          <w:szCs w:val="28"/>
        </w:rPr>
      </w:pPr>
      <w:r w:rsidRPr="00FC4E98">
        <w:rPr>
          <w:rFonts w:ascii="Arial Narrow" w:hAnsi="Arial Narrow" w:cs="Arial"/>
          <w:b/>
          <w:bCs/>
          <w:color w:val="118502"/>
          <w:sz w:val="28"/>
          <w:szCs w:val="28"/>
        </w:rPr>
        <w:t>Requirements to Limit Certain Persons’ Access to Certain Data (“Firewall” provision)</w:t>
      </w:r>
    </w:p>
    <w:p w14:paraId="707F3059" w14:textId="66A6F4F3" w:rsidR="00736D3F" w:rsidRPr="00887E95" w:rsidRDefault="00736D3F" w:rsidP="0059598F">
      <w:pPr>
        <w:autoSpaceDE w:val="0"/>
        <w:autoSpaceDN w:val="0"/>
        <w:adjustRightInd w:val="0"/>
        <w:jc w:val="both"/>
        <w:rPr>
          <w:rFonts w:ascii="Arial Narrow" w:hAnsi="Arial Narrow" w:cs="Arial"/>
          <w:b/>
          <w:bCs/>
          <w:color w:val="118502"/>
          <w:sz w:val="28"/>
          <w:szCs w:val="28"/>
        </w:rPr>
      </w:pPr>
      <w:r w:rsidRPr="00887E95">
        <w:rPr>
          <w:rFonts w:ascii="Arial Narrow" w:hAnsi="Arial Narrow"/>
        </w:rPr>
        <w:t>Referred to as a “firewall,” the  rule restricts the access of certain individuals (underwriters, employees making a determination relating to an application, etc.) at a financial institution or its</w:t>
      </w:r>
      <w:r w:rsidR="00887E95" w:rsidRPr="00887E95">
        <w:rPr>
          <w:rFonts w:ascii="Arial Narrow" w:hAnsi="Arial Narrow"/>
        </w:rPr>
        <w:t xml:space="preserve"> affiliates to certain race or demographic information provided by an applicant. If a bank determines that an employee “should have access” to covered information, it must provide a notice to the applicant of the underwriter’s access to such information, along with notice that the financial institution may not discriminate on the basis of such information.</w:t>
      </w:r>
      <w:r w:rsidR="008F08AA" w:rsidRPr="008F08AA">
        <w:t xml:space="preserve"> </w:t>
      </w:r>
      <w:r w:rsidR="008F08AA" w:rsidRPr="008F08AA">
        <w:rPr>
          <w:rFonts w:ascii="Arial Narrow" w:hAnsi="Arial Narrow"/>
        </w:rPr>
        <w:t>Alternatively, a covered financial institution can provide the notice to a broader group of applicants, up to and including all applicants.</w:t>
      </w:r>
    </w:p>
    <w:p w14:paraId="683C5F75" w14:textId="4915D202" w:rsidR="00E97D7B" w:rsidRDefault="00E97D7B" w:rsidP="0059598F">
      <w:pPr>
        <w:autoSpaceDE w:val="0"/>
        <w:autoSpaceDN w:val="0"/>
        <w:adjustRightInd w:val="0"/>
        <w:jc w:val="both"/>
        <w:rPr>
          <w:rFonts w:ascii="Arial Narrow" w:hAnsi="Arial Narrow" w:cs="Arial"/>
          <w:color w:val="000000"/>
        </w:rPr>
      </w:pPr>
      <w:r w:rsidRPr="00176BB6">
        <w:rPr>
          <w:rFonts w:ascii="Arial Narrow" w:hAnsi="Arial Narrow" w:cs="Arial"/>
          <w:color w:val="000000"/>
        </w:rPr>
        <w:t xml:space="preserve">The </w:t>
      </w:r>
      <w:r>
        <w:rPr>
          <w:rFonts w:ascii="Arial Narrow" w:hAnsi="Arial Narrow" w:cs="Arial"/>
          <w:color w:val="000000"/>
        </w:rPr>
        <w:t xml:space="preserve"> rule</w:t>
      </w:r>
      <w:r w:rsidRPr="00176BB6">
        <w:rPr>
          <w:rFonts w:ascii="Arial Narrow" w:hAnsi="Arial Narrow" w:cs="Arial"/>
          <w:color w:val="000000"/>
        </w:rPr>
        <w:t xml:space="preserve"> implement</w:t>
      </w:r>
      <w:r w:rsidR="00DF49F6">
        <w:rPr>
          <w:rFonts w:ascii="Arial Narrow" w:hAnsi="Arial Narrow" w:cs="Arial"/>
          <w:color w:val="000000"/>
        </w:rPr>
        <w:t>s</w:t>
      </w:r>
      <w:r w:rsidRPr="00176BB6">
        <w:rPr>
          <w:rFonts w:ascii="Arial Narrow" w:hAnsi="Arial Narrow" w:cs="Arial"/>
          <w:color w:val="000000"/>
        </w:rPr>
        <w:t xml:space="preserve"> certain </w:t>
      </w:r>
      <w:r>
        <w:rPr>
          <w:rFonts w:ascii="Arial Narrow" w:hAnsi="Arial Narrow" w:cs="Arial"/>
          <w:color w:val="000000"/>
        </w:rPr>
        <w:t xml:space="preserve">limitations on </w:t>
      </w:r>
      <w:r w:rsidRPr="00176BB6">
        <w:rPr>
          <w:rFonts w:ascii="Arial Narrow" w:hAnsi="Arial Narrow" w:cs="Arial"/>
          <w:color w:val="000000"/>
        </w:rPr>
        <w:t>employees’ and officers’ access to certain data. The</w:t>
      </w:r>
      <w:r>
        <w:rPr>
          <w:rFonts w:ascii="Arial Narrow" w:hAnsi="Arial Narrow" w:cs="Arial"/>
          <w:color w:val="000000"/>
        </w:rPr>
        <w:t xml:space="preserve"> CFPB</w:t>
      </w:r>
      <w:r w:rsidRPr="00176BB6">
        <w:rPr>
          <w:rFonts w:ascii="Arial Narrow" w:hAnsi="Arial Narrow" w:cs="Arial"/>
          <w:color w:val="000000"/>
        </w:rPr>
        <w:t xml:space="preserve"> refers to this as the “firewall.” </w:t>
      </w:r>
      <w:r>
        <w:rPr>
          <w:rFonts w:ascii="Arial Narrow" w:hAnsi="Arial Narrow" w:cs="Arial"/>
          <w:color w:val="000000"/>
        </w:rPr>
        <w:t>Any</w:t>
      </w:r>
      <w:r w:rsidRPr="00176BB6">
        <w:rPr>
          <w:rFonts w:ascii="Arial Narrow" w:hAnsi="Arial Narrow" w:cs="Arial"/>
          <w:color w:val="000000"/>
        </w:rPr>
        <w:t xml:space="preserve"> employee or officer of a covered financial institution or affiliate </w:t>
      </w:r>
      <w:r>
        <w:rPr>
          <w:rFonts w:ascii="Arial Narrow" w:hAnsi="Arial Narrow" w:cs="Arial"/>
          <w:color w:val="000000"/>
        </w:rPr>
        <w:t xml:space="preserve">that is involved in the determination of applications </w:t>
      </w:r>
      <w:r w:rsidR="00CD40FA">
        <w:rPr>
          <w:rFonts w:ascii="Arial Narrow" w:hAnsi="Arial Narrow" w:cs="Arial"/>
          <w:color w:val="000000"/>
        </w:rPr>
        <w:t>are</w:t>
      </w:r>
      <w:r w:rsidRPr="00176BB6">
        <w:rPr>
          <w:rFonts w:ascii="Arial Narrow" w:hAnsi="Arial Narrow" w:cs="Arial"/>
          <w:color w:val="000000"/>
        </w:rPr>
        <w:t xml:space="preserve"> prohibited from accessing </w:t>
      </w:r>
      <w:r>
        <w:rPr>
          <w:rFonts w:ascii="Arial Narrow" w:hAnsi="Arial Narrow" w:cs="Arial"/>
          <w:color w:val="000000"/>
        </w:rPr>
        <w:t>information</w:t>
      </w:r>
      <w:r w:rsidRPr="00176BB6">
        <w:rPr>
          <w:rFonts w:ascii="Arial Narrow" w:hAnsi="Arial Narrow" w:cs="Arial"/>
          <w:color w:val="000000"/>
        </w:rPr>
        <w:t xml:space="preserve"> regarding whether the applicant is a minority-owned</w:t>
      </w:r>
      <w:r>
        <w:rPr>
          <w:rFonts w:ascii="Arial Narrow" w:hAnsi="Arial Narrow" w:cs="Arial"/>
          <w:color w:val="000000"/>
        </w:rPr>
        <w:t xml:space="preserve"> </w:t>
      </w:r>
      <w:r w:rsidRPr="00176BB6">
        <w:rPr>
          <w:rFonts w:ascii="Arial Narrow" w:hAnsi="Arial Narrow" w:cs="Arial"/>
          <w:color w:val="000000"/>
        </w:rPr>
        <w:t>business or a women-owned business and regarding the ethnicity, race, and sex of the applicant’s principal owners</w:t>
      </w:r>
      <w:r>
        <w:rPr>
          <w:rFonts w:ascii="Arial Narrow" w:hAnsi="Arial Narrow" w:cs="Arial"/>
          <w:color w:val="000000"/>
        </w:rPr>
        <w:t>.</w:t>
      </w:r>
      <w:r w:rsidR="006D6F36">
        <w:rPr>
          <w:rFonts w:ascii="Arial Narrow" w:hAnsi="Arial Narrow" w:cs="Arial"/>
          <w:color w:val="000000"/>
        </w:rPr>
        <w:t xml:space="preserve">  </w:t>
      </w:r>
      <w:r w:rsidR="006D6F36" w:rsidRPr="006D6F36">
        <w:rPr>
          <w:rFonts w:ascii="Arial Narrow" w:hAnsi="Arial Narrow" w:cs="Arial"/>
          <w:color w:val="000000"/>
        </w:rPr>
        <w:t>In addition, the final rule prohibits a covered financial institution or third party from disclosing this demographic information (i.e., minority-owned, women-owned, and LGBTQI+-owned business statuses and ethnicity, race, and sex information collected pursuant to the final rule) to other parties, except in limited circumstances.</w:t>
      </w:r>
    </w:p>
    <w:p w14:paraId="46160627" w14:textId="0DD944D5" w:rsidR="00E97D7B" w:rsidRPr="00FC4E98" w:rsidRDefault="00E97D7B" w:rsidP="0059598F">
      <w:pPr>
        <w:autoSpaceDE w:val="0"/>
        <w:autoSpaceDN w:val="0"/>
        <w:adjustRightInd w:val="0"/>
        <w:jc w:val="both"/>
        <w:rPr>
          <w:rFonts w:ascii="Arial Narrow" w:hAnsi="Arial Narrow" w:cs="Arial"/>
          <w:b/>
          <w:bCs/>
          <w:color w:val="118502"/>
          <w:sz w:val="28"/>
          <w:szCs w:val="28"/>
        </w:rPr>
      </w:pPr>
      <w:r w:rsidRPr="00FC4E98">
        <w:rPr>
          <w:rFonts w:ascii="Arial Narrow" w:hAnsi="Arial Narrow" w:cs="Arial"/>
          <w:b/>
          <w:bCs/>
          <w:color w:val="118502"/>
          <w:sz w:val="28"/>
          <w:szCs w:val="28"/>
        </w:rPr>
        <w:t>Recordkeeping Requirements</w:t>
      </w:r>
    </w:p>
    <w:p w14:paraId="59979042" w14:textId="1E22BF36" w:rsidR="00FB2C9E" w:rsidRDefault="00FB2C9E" w:rsidP="0059598F">
      <w:pPr>
        <w:jc w:val="both"/>
        <w:rPr>
          <w:rFonts w:ascii="Arial Narrow" w:hAnsi="Arial Narrow" w:cs="Arial"/>
          <w:color w:val="000000"/>
        </w:rPr>
      </w:pPr>
      <w:r w:rsidRPr="00FB2C9E">
        <w:rPr>
          <w:rFonts w:ascii="Arial Narrow" w:hAnsi="Arial Narrow" w:cs="Arial"/>
          <w:color w:val="000000"/>
        </w:rPr>
        <w:t>The  rule require</w:t>
      </w:r>
      <w:r w:rsidR="00DF49F6">
        <w:rPr>
          <w:rFonts w:ascii="Arial Narrow" w:hAnsi="Arial Narrow" w:cs="Arial"/>
          <w:color w:val="000000"/>
        </w:rPr>
        <w:t>s</w:t>
      </w:r>
      <w:r w:rsidRPr="00FB2C9E">
        <w:rPr>
          <w:rFonts w:ascii="Arial Narrow" w:hAnsi="Arial Narrow" w:cs="Arial"/>
          <w:color w:val="000000"/>
        </w:rPr>
        <w:t xml:space="preserve"> financial institutions to retain evidence of compliance with this rule, including a copy of their small business lending application register</w:t>
      </w:r>
      <w:r w:rsidR="00F875F0">
        <w:rPr>
          <w:rFonts w:ascii="Arial Narrow" w:hAnsi="Arial Narrow" w:cs="Arial"/>
          <w:color w:val="000000"/>
        </w:rPr>
        <w:t xml:space="preserve"> and other evidence of compliance </w:t>
      </w:r>
      <w:r w:rsidRPr="00FB2C9E">
        <w:rPr>
          <w:rFonts w:ascii="Arial Narrow" w:hAnsi="Arial Narrow" w:cs="Arial"/>
          <w:color w:val="000000"/>
        </w:rPr>
        <w:t xml:space="preserve">for at least three years after they are required to be submitted. Financial institutions </w:t>
      </w:r>
      <w:r w:rsidR="00CD40FA">
        <w:rPr>
          <w:rFonts w:ascii="Arial Narrow" w:hAnsi="Arial Narrow" w:cs="Arial"/>
          <w:color w:val="000000"/>
        </w:rPr>
        <w:t>are</w:t>
      </w:r>
      <w:r w:rsidRPr="00FB2C9E">
        <w:rPr>
          <w:rFonts w:ascii="Arial Narrow" w:hAnsi="Arial Narrow" w:cs="Arial"/>
          <w:color w:val="000000"/>
        </w:rPr>
        <w:t xml:space="preserve"> required to maintain, separately from the rest of the application and accompanying information, an applicant’s responses to the financial institution’s inquiries regarding whether an applicant is a minority-owned or a women-owned business, and the ethnicity, race, and sex of the applicant’s principal owners. Information should not include any name, specific address, telephone number, email address, or any personally identifiable information (PII) concerning any individual who is, or is connected with, an applicant.</w:t>
      </w:r>
    </w:p>
    <w:p w14:paraId="72A7D4F4" w14:textId="72316BB8" w:rsidR="00AF6586" w:rsidRDefault="00AF6586" w:rsidP="0059598F">
      <w:pPr>
        <w:jc w:val="both"/>
        <w:rPr>
          <w:rFonts w:ascii="Arial Narrow" w:hAnsi="Arial Narrow" w:cs="Arial"/>
          <w:color w:val="000000"/>
        </w:rPr>
      </w:pPr>
      <w:r w:rsidRPr="00FC4E98">
        <w:rPr>
          <w:rFonts w:ascii="Arial Narrow" w:hAnsi="Arial Narrow" w:cs="Arial"/>
          <w:b/>
          <w:bCs/>
          <w:color w:val="118502"/>
          <w:sz w:val="28"/>
          <w:szCs w:val="28"/>
        </w:rPr>
        <w:t>Effective and Compliance Dates</w:t>
      </w:r>
    </w:p>
    <w:p w14:paraId="7497779A" w14:textId="77777777" w:rsidR="001136E1" w:rsidRPr="001136E1" w:rsidRDefault="001136E1" w:rsidP="0059598F">
      <w:pPr>
        <w:jc w:val="both"/>
        <w:rPr>
          <w:rFonts w:ascii="Arial Narrow" w:hAnsi="Arial Narrow" w:cs="Arial"/>
          <w:color w:val="000000"/>
        </w:rPr>
      </w:pPr>
      <w:r w:rsidRPr="001136E1">
        <w:rPr>
          <w:rFonts w:ascii="Arial Narrow" w:hAnsi="Arial Narrow" w:cs="Arial"/>
          <w:color w:val="000000"/>
        </w:rPr>
        <w:t>The final rule is effective 90 days after its publication in the Federal Register. However, compliance with the final rule is not required at that time. In order to determine when it must begin complying with the final rule, a financial institution must determine which compliance date tier applies to it.</w:t>
      </w:r>
    </w:p>
    <w:p w14:paraId="6E71D457" w14:textId="6F1FBD3C" w:rsidR="00620071" w:rsidRDefault="001136E1" w:rsidP="0059598F">
      <w:pPr>
        <w:jc w:val="both"/>
        <w:rPr>
          <w:rFonts w:ascii="Arial Narrow" w:hAnsi="Arial Narrow" w:cs="Arial"/>
          <w:color w:val="000000"/>
        </w:rPr>
      </w:pPr>
      <w:r w:rsidRPr="001136E1">
        <w:rPr>
          <w:rFonts w:ascii="Arial Narrow" w:hAnsi="Arial Narrow" w:cs="Arial"/>
          <w:color w:val="000000"/>
        </w:rPr>
        <w:t>Generally, the compliance date tiers in the final rule differ depending on the number of covered originations that a financial institution originated in 2022 and 2023. Additionally, in order to be required to comply with the final rule in a given year, a financial institution must be a covered</w:t>
      </w:r>
      <w:r>
        <w:rPr>
          <w:rFonts w:ascii="Arial Narrow" w:hAnsi="Arial Narrow" w:cs="Arial"/>
          <w:color w:val="000000"/>
        </w:rPr>
        <w:t xml:space="preserve"> </w:t>
      </w:r>
      <w:r w:rsidRPr="001136E1">
        <w:rPr>
          <w:rFonts w:ascii="Arial Narrow" w:hAnsi="Arial Narrow" w:cs="Arial"/>
          <w:color w:val="000000"/>
        </w:rPr>
        <w:t>financial institution (as discussed above) for that year. Taken together, these two provisions in the final rule mean that:</w:t>
      </w:r>
    </w:p>
    <w:p w14:paraId="2FAB8728" w14:textId="77777777" w:rsidR="0059598F" w:rsidRDefault="0059598F" w:rsidP="0059598F">
      <w:pPr>
        <w:jc w:val="both"/>
        <w:rPr>
          <w:rFonts w:ascii="Arial Narrow" w:hAnsi="Arial Narrow" w:cs="Arial"/>
          <w:color w:val="000000"/>
        </w:rPr>
      </w:pPr>
    </w:p>
    <w:p w14:paraId="50DA48B4" w14:textId="000BA88A" w:rsidR="00620071" w:rsidRDefault="009F4D80" w:rsidP="0059598F">
      <w:pPr>
        <w:pStyle w:val="ListParagraph"/>
        <w:numPr>
          <w:ilvl w:val="0"/>
          <w:numId w:val="6"/>
        </w:numPr>
        <w:jc w:val="both"/>
        <w:rPr>
          <w:rFonts w:ascii="Arial Narrow" w:hAnsi="Arial Narrow" w:cs="Arial"/>
          <w:color w:val="000000"/>
        </w:rPr>
      </w:pPr>
      <w:r>
        <w:rPr>
          <w:rFonts w:ascii="Arial Narrow" w:hAnsi="Arial Narrow" w:cs="Arial"/>
          <w:color w:val="000000"/>
        </w:rPr>
        <w:lastRenderedPageBreak/>
        <w:t xml:space="preserve">Tier 1 </w:t>
      </w:r>
      <w:r w:rsidR="001136E1" w:rsidRPr="00620071">
        <w:rPr>
          <w:rFonts w:ascii="Arial Narrow" w:hAnsi="Arial Narrow" w:cs="Arial"/>
          <w:color w:val="000000"/>
        </w:rPr>
        <w:t>financial institution</w:t>
      </w:r>
      <w:r>
        <w:rPr>
          <w:rFonts w:ascii="Arial Narrow" w:hAnsi="Arial Narrow" w:cs="Arial"/>
          <w:color w:val="000000"/>
        </w:rPr>
        <w:t>s</w:t>
      </w:r>
      <w:r w:rsidR="001136E1" w:rsidRPr="00620071">
        <w:rPr>
          <w:rFonts w:ascii="Arial Narrow" w:hAnsi="Arial Narrow" w:cs="Arial"/>
          <w:color w:val="000000"/>
        </w:rPr>
        <w:t xml:space="preserve"> must begin collecting data and otherwise complying with the final rule on October 1, </w:t>
      </w:r>
      <w:proofErr w:type="gramStart"/>
      <w:r w:rsidR="001136E1" w:rsidRPr="00620071">
        <w:rPr>
          <w:rFonts w:ascii="Arial Narrow" w:hAnsi="Arial Narrow" w:cs="Arial"/>
          <w:color w:val="000000"/>
        </w:rPr>
        <w:t>2024</w:t>
      </w:r>
      <w:proofErr w:type="gramEnd"/>
      <w:r w:rsidR="001136E1" w:rsidRPr="00620071">
        <w:rPr>
          <w:rFonts w:ascii="Arial Narrow" w:hAnsi="Arial Narrow" w:cs="Arial"/>
          <w:color w:val="000000"/>
        </w:rPr>
        <w:t xml:space="preserve"> if it originated at least 2,500 covered originations in both 2022 and 2023.</w:t>
      </w:r>
    </w:p>
    <w:p w14:paraId="374799A1" w14:textId="286E188B" w:rsidR="001136E1" w:rsidRPr="00620071" w:rsidRDefault="009F4D80" w:rsidP="0059598F">
      <w:pPr>
        <w:pStyle w:val="ListParagraph"/>
        <w:numPr>
          <w:ilvl w:val="0"/>
          <w:numId w:val="6"/>
        </w:numPr>
        <w:jc w:val="both"/>
        <w:rPr>
          <w:rFonts w:ascii="Arial Narrow" w:hAnsi="Arial Narrow" w:cs="Arial"/>
          <w:color w:val="000000"/>
        </w:rPr>
      </w:pPr>
      <w:r>
        <w:rPr>
          <w:rFonts w:ascii="Arial Narrow" w:hAnsi="Arial Narrow" w:cs="Arial"/>
          <w:color w:val="000000"/>
        </w:rPr>
        <w:t xml:space="preserve">Tier 2 </w:t>
      </w:r>
      <w:r w:rsidR="001136E1" w:rsidRPr="00620071">
        <w:rPr>
          <w:rFonts w:ascii="Arial Narrow" w:hAnsi="Arial Narrow" w:cs="Arial"/>
          <w:color w:val="000000"/>
        </w:rPr>
        <w:t>financial institution</w:t>
      </w:r>
      <w:r>
        <w:rPr>
          <w:rFonts w:ascii="Arial Narrow" w:hAnsi="Arial Narrow" w:cs="Arial"/>
          <w:color w:val="000000"/>
        </w:rPr>
        <w:t>s</w:t>
      </w:r>
      <w:r w:rsidR="001136E1" w:rsidRPr="00620071">
        <w:rPr>
          <w:rFonts w:ascii="Arial Narrow" w:hAnsi="Arial Narrow" w:cs="Arial"/>
          <w:color w:val="000000"/>
        </w:rPr>
        <w:t xml:space="preserve"> must begin collecting data and otherwise complying with the final rule on April 1, </w:t>
      </w:r>
      <w:proofErr w:type="gramStart"/>
      <w:r w:rsidR="001136E1" w:rsidRPr="00620071">
        <w:rPr>
          <w:rFonts w:ascii="Arial Narrow" w:hAnsi="Arial Narrow" w:cs="Arial"/>
          <w:color w:val="000000"/>
        </w:rPr>
        <w:t>2025</w:t>
      </w:r>
      <w:proofErr w:type="gramEnd"/>
      <w:r w:rsidR="001136E1" w:rsidRPr="00620071">
        <w:rPr>
          <w:rFonts w:ascii="Arial Narrow" w:hAnsi="Arial Narrow" w:cs="Arial"/>
          <w:color w:val="000000"/>
        </w:rPr>
        <w:t xml:space="preserve"> if it:</w:t>
      </w:r>
    </w:p>
    <w:p w14:paraId="113D3E39" w14:textId="77777777" w:rsidR="00620071" w:rsidRDefault="001136E1" w:rsidP="0059598F">
      <w:pPr>
        <w:pStyle w:val="ListParagraph"/>
        <w:numPr>
          <w:ilvl w:val="1"/>
          <w:numId w:val="6"/>
        </w:numPr>
        <w:jc w:val="both"/>
        <w:rPr>
          <w:rFonts w:ascii="Arial Narrow" w:hAnsi="Arial Narrow" w:cs="Arial"/>
          <w:color w:val="000000"/>
        </w:rPr>
      </w:pPr>
      <w:r w:rsidRPr="00620071">
        <w:rPr>
          <w:rFonts w:ascii="Arial Narrow" w:hAnsi="Arial Narrow" w:cs="Arial"/>
          <w:color w:val="000000"/>
        </w:rPr>
        <w:t>Originated at least 500 covered originations in both 2022 and 2023;</w:t>
      </w:r>
    </w:p>
    <w:p w14:paraId="04CCB048" w14:textId="77777777" w:rsidR="009A3D5E" w:rsidRDefault="001136E1" w:rsidP="0059598F">
      <w:pPr>
        <w:pStyle w:val="ListParagraph"/>
        <w:numPr>
          <w:ilvl w:val="1"/>
          <w:numId w:val="6"/>
        </w:numPr>
        <w:jc w:val="both"/>
        <w:rPr>
          <w:rFonts w:ascii="Arial Narrow" w:hAnsi="Arial Narrow" w:cs="Arial"/>
          <w:color w:val="000000"/>
        </w:rPr>
      </w:pPr>
      <w:r w:rsidRPr="00620071">
        <w:rPr>
          <w:rFonts w:ascii="Arial Narrow" w:hAnsi="Arial Narrow" w:cs="Arial"/>
          <w:color w:val="000000"/>
        </w:rPr>
        <w:t>Did not originate 2,500 or more covered originations in both 2022 and 2023; and</w:t>
      </w:r>
    </w:p>
    <w:p w14:paraId="5BB53EF5" w14:textId="4FB38A42" w:rsidR="009F4D80" w:rsidRDefault="009F4D80" w:rsidP="0059598F">
      <w:pPr>
        <w:pStyle w:val="ListParagraph"/>
        <w:numPr>
          <w:ilvl w:val="0"/>
          <w:numId w:val="6"/>
        </w:numPr>
        <w:jc w:val="both"/>
        <w:rPr>
          <w:rFonts w:ascii="Arial Narrow" w:hAnsi="Arial Narrow" w:cs="Arial"/>
          <w:color w:val="000000"/>
        </w:rPr>
      </w:pPr>
      <w:r w:rsidRPr="009F4D80">
        <w:rPr>
          <w:rFonts w:ascii="Arial Narrow" w:hAnsi="Arial Narrow" w:cs="Arial"/>
          <w:color w:val="000000"/>
        </w:rPr>
        <w:t xml:space="preserve">Tier </w:t>
      </w:r>
      <w:r>
        <w:rPr>
          <w:rFonts w:ascii="Arial Narrow" w:hAnsi="Arial Narrow" w:cs="Arial"/>
          <w:color w:val="000000"/>
        </w:rPr>
        <w:t>3</w:t>
      </w:r>
      <w:r w:rsidR="001136E1" w:rsidRPr="009F4D80">
        <w:rPr>
          <w:rFonts w:ascii="Arial Narrow" w:hAnsi="Arial Narrow" w:cs="Arial"/>
          <w:color w:val="000000"/>
        </w:rPr>
        <w:t xml:space="preserve"> financial institution</w:t>
      </w:r>
      <w:r>
        <w:rPr>
          <w:rFonts w:ascii="Arial Narrow" w:hAnsi="Arial Narrow" w:cs="Arial"/>
          <w:color w:val="000000"/>
        </w:rPr>
        <w:t>s</w:t>
      </w:r>
      <w:r w:rsidR="001136E1" w:rsidRPr="009F4D80">
        <w:rPr>
          <w:rFonts w:ascii="Arial Narrow" w:hAnsi="Arial Narrow" w:cs="Arial"/>
          <w:color w:val="000000"/>
        </w:rPr>
        <w:t xml:space="preserve"> must begin collecting data and otherwise complying with the final rule on January 1, </w:t>
      </w:r>
      <w:proofErr w:type="gramStart"/>
      <w:r w:rsidR="001136E1" w:rsidRPr="009F4D80">
        <w:rPr>
          <w:rFonts w:ascii="Arial Narrow" w:hAnsi="Arial Narrow" w:cs="Arial"/>
          <w:color w:val="000000"/>
        </w:rPr>
        <w:t>2026</w:t>
      </w:r>
      <w:proofErr w:type="gramEnd"/>
      <w:r w:rsidR="001136E1" w:rsidRPr="009F4D80">
        <w:rPr>
          <w:rFonts w:ascii="Arial Narrow" w:hAnsi="Arial Narrow" w:cs="Arial"/>
          <w:color w:val="000000"/>
        </w:rPr>
        <w:t xml:space="preserve"> </w:t>
      </w:r>
      <w:r>
        <w:rPr>
          <w:rFonts w:ascii="Arial Narrow" w:hAnsi="Arial Narrow" w:cs="Arial"/>
          <w:color w:val="000000"/>
        </w:rPr>
        <w:t>with at least 100 covered originations in both 2022 and 2023 but not 500 or more covered originations in both 2022 and 2023.</w:t>
      </w:r>
    </w:p>
    <w:p w14:paraId="7067D92F" w14:textId="52C5F482" w:rsidR="00AF6586" w:rsidRPr="009F4D80" w:rsidRDefault="009F4D80" w:rsidP="0059598F">
      <w:pPr>
        <w:pStyle w:val="ListParagraph"/>
        <w:numPr>
          <w:ilvl w:val="0"/>
          <w:numId w:val="6"/>
        </w:numPr>
        <w:jc w:val="both"/>
        <w:rPr>
          <w:rFonts w:ascii="Arial Narrow" w:hAnsi="Arial Narrow" w:cs="Arial"/>
          <w:color w:val="000000"/>
        </w:rPr>
      </w:pPr>
      <w:r w:rsidRPr="009F4D80">
        <w:rPr>
          <w:rFonts w:ascii="Arial Narrow" w:hAnsi="Arial Narrow" w:cs="Arial"/>
        </w:rPr>
        <w:t xml:space="preserve">Also, even </w:t>
      </w:r>
      <w:r w:rsidR="001136E1" w:rsidRPr="009F4D80">
        <w:rPr>
          <w:rFonts w:ascii="Arial Narrow" w:hAnsi="Arial Narrow" w:cs="Arial"/>
        </w:rPr>
        <w:t xml:space="preserve">if it originated </w:t>
      </w:r>
      <w:r w:rsidRPr="009F4D80">
        <w:rPr>
          <w:rFonts w:ascii="Arial Narrow" w:hAnsi="Arial Narrow" w:cs="Arial"/>
        </w:rPr>
        <w:t>fewer than</w:t>
      </w:r>
      <w:r w:rsidR="001136E1" w:rsidRPr="009F4D80">
        <w:rPr>
          <w:rFonts w:ascii="Arial Narrow" w:hAnsi="Arial Narrow" w:cs="Arial"/>
        </w:rPr>
        <w:t xml:space="preserve"> 100 covered originations in </w:t>
      </w:r>
      <w:r w:rsidRPr="009F4D80">
        <w:rPr>
          <w:rFonts w:ascii="Arial Narrow" w:hAnsi="Arial Narrow" w:cs="Arial"/>
        </w:rPr>
        <w:t xml:space="preserve">2022 or 2023, a financial institution that </w:t>
      </w:r>
      <w:r>
        <w:rPr>
          <w:rFonts w:ascii="Arial Narrow" w:hAnsi="Arial Narrow" w:cs="Arial"/>
          <w:color w:val="000000"/>
        </w:rPr>
        <w:t>originates at least 100 covered originations in 2024 and 2025 must collect data and comply with the final rule beginning January 1, 2026.</w:t>
      </w:r>
    </w:p>
    <w:p w14:paraId="3A05AC10" w14:textId="45D5B6A9" w:rsidR="00AF6586" w:rsidRDefault="009A3D5E" w:rsidP="0059598F">
      <w:pPr>
        <w:jc w:val="both"/>
        <w:rPr>
          <w:rFonts w:ascii="Arial Narrow" w:hAnsi="Arial Narrow" w:cs="Arial"/>
          <w:b/>
          <w:bCs/>
          <w:color w:val="118502"/>
          <w:sz w:val="28"/>
          <w:szCs w:val="28"/>
        </w:rPr>
      </w:pPr>
      <w:r>
        <w:rPr>
          <w:rFonts w:ascii="Arial Narrow" w:hAnsi="Arial Narrow" w:cs="Arial"/>
          <w:b/>
          <w:bCs/>
          <w:color w:val="118502"/>
          <w:sz w:val="28"/>
          <w:szCs w:val="28"/>
        </w:rPr>
        <w:t>Transitional Period</w:t>
      </w:r>
    </w:p>
    <w:p w14:paraId="2526EC21" w14:textId="77777777" w:rsidR="0042146D" w:rsidRPr="0042146D" w:rsidRDefault="0042146D" w:rsidP="0059598F">
      <w:pPr>
        <w:jc w:val="both"/>
        <w:rPr>
          <w:rFonts w:ascii="Arial Narrow" w:hAnsi="Arial Narrow" w:cs="Arial"/>
          <w:color w:val="000000"/>
        </w:rPr>
      </w:pPr>
      <w:r w:rsidRPr="0042146D">
        <w:rPr>
          <w:rFonts w:ascii="Arial Narrow" w:hAnsi="Arial Narrow" w:cs="Arial"/>
          <w:color w:val="000000"/>
        </w:rPr>
        <w:t>Some financial institutions may not be able to readily determine if transactions originated in 2022 or early 2023 are covered originations because they don’t know if a borrower is a small business as defined in the final rule. Thus, the final rule includes a transitional provision that financial institutions may use to determine the number of covered originations they originated in 2022 and 2023. A financial institution may rely on the transitional provision to determine the number of its covered originations for 2022 and/or 2023 if it did not collect sufficient information to determine if some or all borrowers were small businesses pursuant to the final rule or if such information is not readily accessible. Such institutions may count covered originations for the last quarter of calendar year 2023 (October 1 through December 31), and then annualize the number of its covered originations based on this information. The financial institution could use this annualized number to determine its covered originations for 2022, 2023, or both years.</w:t>
      </w:r>
    </w:p>
    <w:p w14:paraId="32CD3A60" w14:textId="62DB7770" w:rsidR="0042146D" w:rsidRDefault="0042146D" w:rsidP="0059598F">
      <w:pPr>
        <w:jc w:val="both"/>
        <w:rPr>
          <w:rFonts w:ascii="Arial Narrow" w:hAnsi="Arial Narrow" w:cs="Arial"/>
          <w:color w:val="000000"/>
        </w:rPr>
      </w:pPr>
      <w:r w:rsidRPr="0042146D">
        <w:rPr>
          <w:rFonts w:ascii="Arial Narrow" w:hAnsi="Arial Narrow" w:cs="Arial"/>
          <w:color w:val="000000"/>
        </w:rPr>
        <w:t>Financial institutions are also permitted to assume that all covered credit transactions originated during a calendar year were made to a small business for purposes of determining institutional coverage and compliance date tier pursuant to the final rule.</w:t>
      </w:r>
      <w:r w:rsidR="00FD3835">
        <w:rPr>
          <w:rFonts w:ascii="Arial Narrow" w:hAnsi="Arial Narrow" w:cs="Arial"/>
          <w:color w:val="000000"/>
        </w:rPr>
        <w:t xml:space="preserve"> </w:t>
      </w:r>
      <w:r w:rsidR="00FD3835" w:rsidRPr="00FD3835">
        <w:rPr>
          <w:rFonts w:ascii="Arial Narrow" w:hAnsi="Arial Narrow" w:cs="Arial"/>
          <w:color w:val="000000"/>
        </w:rPr>
        <w:t>Alternatively, the financial institution could assume that all of the covered credit transactions that it originated in 2022 and 2023 were made to a small business and, thus, are covered originations. For example, if the same financial institution originated 370 covered credit transactions in 2022, it is not required to begin collecting data or otherwise complying with the final rule before January 1, 2026.</w:t>
      </w:r>
    </w:p>
    <w:p w14:paraId="7C5BABE5" w14:textId="4C93DCE9" w:rsidR="0042146D" w:rsidRDefault="003A5E55" w:rsidP="0059598F">
      <w:pPr>
        <w:jc w:val="both"/>
        <w:rPr>
          <w:rFonts w:ascii="Arial Narrow" w:hAnsi="Arial Narrow" w:cs="Arial"/>
          <w:color w:val="000000"/>
        </w:rPr>
      </w:pPr>
      <w:r>
        <w:rPr>
          <w:rFonts w:ascii="Arial Narrow" w:hAnsi="Arial Narrow" w:cs="Arial"/>
          <w:b/>
          <w:bCs/>
          <w:color w:val="118502"/>
          <w:sz w:val="28"/>
          <w:szCs w:val="28"/>
        </w:rPr>
        <w:t>Safe Harbor</w:t>
      </w:r>
    </w:p>
    <w:p w14:paraId="7D30452E" w14:textId="225DF2A9" w:rsidR="004F18FD" w:rsidRDefault="003E601E" w:rsidP="0059598F">
      <w:pPr>
        <w:jc w:val="both"/>
        <w:rPr>
          <w:rFonts w:ascii="Arial Narrow" w:hAnsi="Arial Narrow" w:cs="Arial"/>
          <w:color w:val="000000"/>
        </w:rPr>
      </w:pPr>
      <w:r w:rsidRPr="003E601E">
        <w:rPr>
          <w:rFonts w:ascii="Arial Narrow" w:hAnsi="Arial Narrow" w:cs="Arial"/>
          <w:color w:val="000000"/>
        </w:rPr>
        <w:t>The final rule also includes provisions regarding enforcement, bona fide errors, and safe harbors. It has safe harbors for certain incorrect entries of census tracts, NAICS codes, and application dates. It also has a safe harbor regarding incorrect determinations of small business status, covered credit transactions, and covered applications. For example, if a covered financial institution initially determines that an applicant for a covered credit transaction is a small business, but then later concludes the applicant is not a small business, the covered financial institution would not be in violation of ECOA or the final rule if, at the time it collected the demographic data required by the final rule, it had a reasonable basis for believing that the application was from a small business. In this situation, the covered financial institution is not required to report the application but is nonetheless required to comply with certain other provisions of the final rule in order to avail itself of this safe harbor.</w:t>
      </w:r>
    </w:p>
    <w:p w14:paraId="54CEC42F" w14:textId="1B491864" w:rsidR="0059598F" w:rsidRDefault="0059598F" w:rsidP="0059598F">
      <w:pPr>
        <w:jc w:val="both"/>
        <w:rPr>
          <w:rFonts w:ascii="Arial Narrow" w:hAnsi="Arial Narrow" w:cs="Arial"/>
          <w:color w:val="000000"/>
        </w:rPr>
      </w:pPr>
    </w:p>
    <w:p w14:paraId="357C8D41" w14:textId="77777777" w:rsidR="0059598F" w:rsidRDefault="0059598F" w:rsidP="0059598F">
      <w:pPr>
        <w:pStyle w:val="Title"/>
        <w:spacing w:before="120" w:after="120" w:line="276" w:lineRule="auto"/>
        <w:ind w:right="0"/>
        <w:jc w:val="left"/>
        <w:rPr>
          <w:rFonts w:ascii="Arial Narrow" w:hAnsi="Arial Narrow"/>
          <w:color w:val="218649"/>
          <w:sz w:val="28"/>
          <w:szCs w:val="28"/>
        </w:rPr>
      </w:pPr>
      <w:bookmarkStart w:id="0" w:name="_Hlk94789468"/>
      <w:r>
        <w:rPr>
          <w:rFonts w:ascii="Arial Narrow" w:hAnsi="Arial Narrow"/>
          <w:b w:val="0"/>
          <w:noProof/>
          <w:color w:val="218649"/>
        </w:rPr>
        <w:lastRenderedPageBreak/>
        <w:drawing>
          <wp:anchor distT="0" distB="0" distL="114300" distR="114300" simplePos="0" relativeHeight="251662336" behindDoc="0" locked="0" layoutInCell="1" allowOverlap="1" wp14:anchorId="6CECEDFA" wp14:editId="5872933E">
            <wp:simplePos x="0" y="0"/>
            <wp:positionH relativeFrom="column">
              <wp:posOffset>0</wp:posOffset>
            </wp:positionH>
            <wp:positionV relativeFrom="paragraph">
              <wp:posOffset>0</wp:posOffset>
            </wp:positionV>
            <wp:extent cx="571500" cy="571500"/>
            <wp:effectExtent l="0" t="0" r="0" b="0"/>
            <wp:wrapNone/>
            <wp:docPr id="3" name="Picture 3" descr="Description: CA_Logo-Sq-Color-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A_Logo-Sq-Color-X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131484889"/>
    </w:p>
    <w:p w14:paraId="0643CAE9" w14:textId="77777777" w:rsidR="0059598F" w:rsidRDefault="0059598F" w:rsidP="0059598F">
      <w:pPr>
        <w:pStyle w:val="Title"/>
        <w:spacing w:before="120" w:after="120" w:line="276" w:lineRule="auto"/>
        <w:ind w:right="0"/>
        <w:rPr>
          <w:rFonts w:ascii="Arial Narrow" w:hAnsi="Arial Narrow"/>
          <w:color w:val="218649"/>
          <w:sz w:val="28"/>
          <w:szCs w:val="28"/>
        </w:rPr>
      </w:pPr>
    </w:p>
    <w:p w14:paraId="71CC0D61" w14:textId="77777777" w:rsidR="0059598F" w:rsidRDefault="0059598F" w:rsidP="0059598F">
      <w:pPr>
        <w:pStyle w:val="Title"/>
        <w:spacing w:before="120" w:after="120" w:line="276" w:lineRule="auto"/>
        <w:ind w:right="0"/>
        <w:rPr>
          <w:rFonts w:ascii="Arial Narrow" w:hAnsi="Arial Narrow"/>
          <w:color w:val="218649"/>
          <w:sz w:val="28"/>
          <w:szCs w:val="28"/>
        </w:rPr>
      </w:pPr>
    </w:p>
    <w:p w14:paraId="3C2A400B" w14:textId="4D08F5D2" w:rsidR="0059598F" w:rsidRDefault="00026A1C" w:rsidP="0059598F">
      <w:pPr>
        <w:pStyle w:val="Title"/>
        <w:spacing w:before="120" w:after="120" w:line="276" w:lineRule="auto"/>
        <w:ind w:right="0"/>
        <w:rPr>
          <w:rFonts w:ascii="Arial Narrow" w:hAnsi="Arial Narrow"/>
          <w:color w:val="218649"/>
          <w:sz w:val="28"/>
          <w:szCs w:val="28"/>
        </w:rPr>
      </w:pPr>
      <w:r>
        <w:rPr>
          <w:rFonts w:ascii="Arial Narrow" w:hAnsi="Arial Narrow"/>
          <w:color w:val="218649"/>
          <w:sz w:val="28"/>
          <w:szCs w:val="28"/>
        </w:rPr>
        <w:t xml:space="preserve">Deep Dive </w:t>
      </w:r>
      <w:r w:rsidR="00CE0B37">
        <w:rPr>
          <w:rFonts w:ascii="Arial Narrow" w:hAnsi="Arial Narrow"/>
          <w:color w:val="218649"/>
          <w:sz w:val="28"/>
          <w:szCs w:val="28"/>
        </w:rPr>
        <w:t>into</w:t>
      </w:r>
      <w:r>
        <w:rPr>
          <w:rFonts w:ascii="Arial Narrow" w:hAnsi="Arial Narrow"/>
          <w:color w:val="218649"/>
          <w:sz w:val="28"/>
          <w:szCs w:val="28"/>
        </w:rPr>
        <w:t xml:space="preserve"> </w:t>
      </w:r>
      <w:r w:rsidR="00CE0B37">
        <w:rPr>
          <w:rFonts w:ascii="Arial Narrow" w:hAnsi="Arial Narrow"/>
          <w:color w:val="218649"/>
          <w:sz w:val="28"/>
          <w:szCs w:val="28"/>
        </w:rPr>
        <w:t>t</w:t>
      </w:r>
      <w:r>
        <w:rPr>
          <w:rFonts w:ascii="Arial Narrow" w:hAnsi="Arial Narrow"/>
          <w:color w:val="218649"/>
          <w:sz w:val="28"/>
          <w:szCs w:val="28"/>
        </w:rPr>
        <w:t xml:space="preserve">he Section 1071 Final Rule </w:t>
      </w:r>
    </w:p>
    <w:p w14:paraId="3BE7BEF0" w14:textId="39194007" w:rsidR="0059598F" w:rsidRDefault="0059598F" w:rsidP="0059598F">
      <w:pPr>
        <w:pStyle w:val="Title"/>
        <w:spacing w:before="120" w:after="120" w:line="276" w:lineRule="auto"/>
        <w:ind w:right="0"/>
        <w:rPr>
          <w:rFonts w:ascii="Arial Narrow" w:hAnsi="Arial Narrow"/>
          <w:color w:val="218649"/>
          <w:sz w:val="28"/>
          <w:szCs w:val="28"/>
        </w:rPr>
      </w:pPr>
      <w:r>
        <w:rPr>
          <w:rFonts w:ascii="Arial Narrow" w:hAnsi="Arial Narrow"/>
          <w:color w:val="218649"/>
          <w:sz w:val="28"/>
          <w:szCs w:val="28"/>
        </w:rPr>
        <w:t xml:space="preserve">FAQ: </w:t>
      </w:r>
      <w:r w:rsidRPr="00027C98">
        <w:rPr>
          <w:rFonts w:ascii="Arial Narrow" w:hAnsi="Arial Narrow"/>
          <w:color w:val="218649"/>
          <w:sz w:val="28"/>
          <w:szCs w:val="28"/>
        </w:rPr>
        <w:t>Questions</w:t>
      </w:r>
    </w:p>
    <w:p w14:paraId="18BA2004" w14:textId="0B14532E" w:rsidR="00CE0B37" w:rsidRDefault="00CE0B37" w:rsidP="00CE0B37">
      <w:pPr>
        <w:pStyle w:val="Title"/>
        <w:spacing w:before="120" w:after="120" w:line="276" w:lineRule="auto"/>
        <w:ind w:right="0"/>
        <w:jc w:val="left"/>
        <w:rPr>
          <w:rFonts w:ascii="Arial Narrow" w:hAnsi="Arial Narrow"/>
          <w:color w:val="218649"/>
          <w:sz w:val="28"/>
          <w:szCs w:val="28"/>
        </w:rPr>
      </w:pPr>
      <w:r>
        <w:rPr>
          <w:rFonts w:ascii="Arial Narrow" w:hAnsi="Arial Narrow"/>
          <w:color w:val="218649"/>
          <w:sz w:val="28"/>
          <w:szCs w:val="28"/>
        </w:rPr>
        <w:t>_________________________________________________________________________</w:t>
      </w:r>
    </w:p>
    <w:p w14:paraId="25C7CD46" w14:textId="77777777" w:rsidR="00CE0B37" w:rsidRPr="00027C98" w:rsidRDefault="00CE0B37" w:rsidP="00CE0B37">
      <w:pPr>
        <w:pStyle w:val="Title"/>
        <w:spacing w:before="120" w:after="120" w:line="276" w:lineRule="auto"/>
        <w:ind w:right="0"/>
        <w:jc w:val="left"/>
        <w:rPr>
          <w:rFonts w:ascii="Arial Narrow" w:hAnsi="Arial Narrow"/>
          <w:color w:val="218649"/>
          <w:sz w:val="28"/>
          <w:szCs w:val="28"/>
        </w:rPr>
      </w:pPr>
    </w:p>
    <w:p w14:paraId="4494C7F7" w14:textId="77777777" w:rsidR="0059598F" w:rsidRPr="00026A1C" w:rsidRDefault="0059598F" w:rsidP="0059598F">
      <w:pPr>
        <w:spacing w:before="120" w:after="120"/>
        <w:rPr>
          <w:rFonts w:ascii="Arial Narrow" w:hAnsi="Arial Narrow"/>
          <w:b/>
          <w:bCs/>
          <w:color w:val="1E6D37"/>
        </w:rPr>
      </w:pPr>
      <w:bookmarkStart w:id="2" w:name="_Hlk132099341"/>
      <w:bookmarkEnd w:id="0"/>
      <w:bookmarkEnd w:id="1"/>
      <w:r w:rsidRPr="00026A1C">
        <w:rPr>
          <w:rFonts w:ascii="Arial Narrow" w:hAnsi="Arial Narrow"/>
          <w:b/>
          <w:bCs/>
          <w:color w:val="1E6D37"/>
        </w:rPr>
        <w:t>Question 1:</w:t>
      </w:r>
    </w:p>
    <w:p w14:paraId="1AC83336" w14:textId="71AB150E" w:rsidR="0059598F" w:rsidRPr="00026A1C" w:rsidRDefault="0059598F" w:rsidP="0059598F">
      <w:pPr>
        <w:spacing w:after="0" w:line="240" w:lineRule="auto"/>
        <w:jc w:val="both"/>
        <w:rPr>
          <w:rFonts w:ascii="Arial Narrow" w:hAnsi="Arial Narrow" w:cs="Segoe UI"/>
          <w:color w:val="2F3941"/>
          <w:shd w:val="clear" w:color="auto" w:fill="FFFFFF"/>
        </w:rPr>
      </w:pPr>
      <w:r w:rsidRPr="00026A1C">
        <w:rPr>
          <w:rFonts w:ascii="Arial Narrow" w:hAnsi="Arial Narrow"/>
        </w:rPr>
        <w:t>How will Section 1071 be enforced?</w:t>
      </w:r>
    </w:p>
    <w:p w14:paraId="0D61685A" w14:textId="77777777" w:rsidR="0059598F" w:rsidRPr="00026A1C" w:rsidRDefault="0059598F" w:rsidP="0059598F">
      <w:pPr>
        <w:spacing w:after="0" w:line="480" w:lineRule="auto"/>
        <w:rPr>
          <w:rFonts w:ascii="Arial Narrow" w:hAnsi="Arial Narrow"/>
          <w:b/>
          <w:bCs/>
          <w:color w:val="1E6D37"/>
        </w:rPr>
      </w:pPr>
      <w:r w:rsidRPr="00026A1C">
        <w:rPr>
          <w:rFonts w:ascii="Arial Narrow" w:hAnsi="Arial Narrow"/>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2"/>
    <w:p w14:paraId="789297D1" w14:textId="77777777" w:rsidR="00B806A4" w:rsidRPr="00CE0B37" w:rsidRDefault="00B806A4" w:rsidP="00CE0B37">
      <w:pPr>
        <w:spacing w:after="0"/>
        <w:jc w:val="both"/>
        <w:rPr>
          <w:rFonts w:ascii="Arial Narrow" w:hAnsi="Arial Narrow"/>
        </w:rPr>
      </w:pPr>
    </w:p>
    <w:p w14:paraId="7ABF1B87" w14:textId="3D1BA4DA" w:rsidR="0059598F" w:rsidRPr="00026A1C" w:rsidRDefault="0059598F" w:rsidP="0059598F">
      <w:pPr>
        <w:spacing w:before="120" w:after="120"/>
        <w:rPr>
          <w:rFonts w:ascii="Arial Narrow" w:hAnsi="Arial Narrow"/>
          <w:b/>
          <w:bCs/>
          <w:color w:val="1E6D37"/>
        </w:rPr>
      </w:pPr>
      <w:r w:rsidRPr="00026A1C">
        <w:rPr>
          <w:rFonts w:ascii="Arial Narrow" w:hAnsi="Arial Narrow"/>
          <w:b/>
          <w:bCs/>
          <w:color w:val="1E6D37"/>
        </w:rPr>
        <w:t xml:space="preserve">Question </w:t>
      </w:r>
      <w:r w:rsidRPr="00026A1C">
        <w:rPr>
          <w:rFonts w:ascii="Arial Narrow" w:hAnsi="Arial Narrow"/>
          <w:b/>
          <w:bCs/>
          <w:color w:val="1E6D37"/>
        </w:rPr>
        <w:t>2:</w:t>
      </w:r>
    </w:p>
    <w:p w14:paraId="0EFFE2A9" w14:textId="77777777" w:rsidR="0059598F" w:rsidRPr="00026A1C" w:rsidRDefault="0059598F" w:rsidP="0059598F">
      <w:pPr>
        <w:spacing w:after="0" w:line="480" w:lineRule="auto"/>
        <w:rPr>
          <w:rFonts w:ascii="Arial Narrow" w:hAnsi="Arial Narrow"/>
        </w:rPr>
      </w:pPr>
      <w:r w:rsidRPr="00026A1C">
        <w:rPr>
          <w:rFonts w:ascii="Arial Narrow" w:hAnsi="Arial Narrow"/>
        </w:rPr>
        <w:t>When is the final rule</w:t>
      </w:r>
      <w:r w:rsidRPr="00026A1C">
        <w:rPr>
          <w:rFonts w:ascii="Arial Narrow" w:hAnsi="Arial Narrow"/>
        </w:rPr>
        <w:t xml:space="preserve"> </w:t>
      </w:r>
      <w:r w:rsidRPr="00026A1C">
        <w:rPr>
          <w:rFonts w:ascii="Arial Narrow" w:hAnsi="Arial Narrow"/>
        </w:rPr>
        <w:t>effective?</w:t>
      </w:r>
    </w:p>
    <w:p w14:paraId="01EB78F2" w14:textId="21929236" w:rsidR="0059598F" w:rsidRPr="00026A1C" w:rsidRDefault="0059598F" w:rsidP="0059598F">
      <w:pPr>
        <w:spacing w:after="0" w:line="480" w:lineRule="auto"/>
        <w:rPr>
          <w:rFonts w:ascii="Arial Narrow" w:hAnsi="Arial Narrow"/>
          <w:b/>
          <w:bCs/>
          <w:color w:val="1E6D37"/>
        </w:rPr>
      </w:pPr>
      <w:r w:rsidRPr="00026A1C">
        <w:rPr>
          <w:rFonts w:ascii="Arial Narrow" w:hAnsi="Arial Narrow"/>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FF1052" w14:textId="77777777" w:rsidR="00B806A4" w:rsidRPr="00026A1C" w:rsidRDefault="00B806A4" w:rsidP="0059598F">
      <w:pPr>
        <w:spacing w:after="0"/>
        <w:jc w:val="both"/>
        <w:rPr>
          <w:rFonts w:ascii="Arial Narrow" w:hAnsi="Arial Narrow"/>
        </w:rPr>
      </w:pPr>
    </w:p>
    <w:p w14:paraId="3903066E" w14:textId="074A555F" w:rsidR="0059598F" w:rsidRPr="00026A1C" w:rsidRDefault="0059598F" w:rsidP="0059598F">
      <w:pPr>
        <w:spacing w:before="120" w:after="120"/>
        <w:rPr>
          <w:rFonts w:ascii="Arial Narrow" w:hAnsi="Arial Narrow"/>
          <w:b/>
          <w:bCs/>
          <w:color w:val="1E6D37"/>
        </w:rPr>
      </w:pPr>
      <w:bookmarkStart w:id="3" w:name="_Hlk132099443"/>
      <w:r w:rsidRPr="00026A1C">
        <w:rPr>
          <w:rFonts w:ascii="Arial Narrow" w:hAnsi="Arial Narrow"/>
          <w:b/>
          <w:bCs/>
          <w:color w:val="1E6D37"/>
        </w:rPr>
        <w:t xml:space="preserve">Question </w:t>
      </w:r>
      <w:r w:rsidRPr="00026A1C">
        <w:rPr>
          <w:rFonts w:ascii="Arial Narrow" w:hAnsi="Arial Narrow"/>
          <w:b/>
          <w:bCs/>
          <w:color w:val="1E6D37"/>
        </w:rPr>
        <w:t>3</w:t>
      </w:r>
      <w:r w:rsidRPr="00026A1C">
        <w:rPr>
          <w:rFonts w:ascii="Arial Narrow" w:hAnsi="Arial Narrow"/>
          <w:b/>
          <w:bCs/>
          <w:color w:val="1E6D37"/>
        </w:rPr>
        <w:t>:</w:t>
      </w:r>
    </w:p>
    <w:p w14:paraId="549A2E27" w14:textId="77777777" w:rsidR="0059598F" w:rsidRPr="00026A1C" w:rsidRDefault="0059598F" w:rsidP="0059598F">
      <w:pPr>
        <w:spacing w:after="0"/>
        <w:jc w:val="both"/>
        <w:rPr>
          <w:rFonts w:ascii="Arial Narrow" w:hAnsi="Arial Narrow"/>
        </w:rPr>
      </w:pPr>
      <w:r w:rsidRPr="00026A1C">
        <w:rPr>
          <w:rFonts w:ascii="Arial Narrow" w:hAnsi="Arial Narrow"/>
        </w:rPr>
        <w:t>Are there any retention requirements besides keeping copies of small business lending application registers and other evidence of compliance for at least three years?</w:t>
      </w:r>
    </w:p>
    <w:p w14:paraId="474ACC23" w14:textId="77777777" w:rsidR="0059598F" w:rsidRPr="00026A1C" w:rsidRDefault="0059598F" w:rsidP="0059598F">
      <w:pPr>
        <w:spacing w:after="0" w:line="480" w:lineRule="auto"/>
        <w:rPr>
          <w:rFonts w:ascii="Arial Narrow" w:hAnsi="Arial Narrow"/>
          <w:b/>
          <w:bCs/>
          <w:color w:val="1E6D37"/>
        </w:rPr>
      </w:pPr>
      <w:r w:rsidRPr="00026A1C">
        <w:rPr>
          <w:rFonts w:ascii="Arial Narrow" w:hAnsi="Arial Narrow"/>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3"/>
    <w:p w14:paraId="461CF554" w14:textId="77777777" w:rsidR="00B806A4" w:rsidRPr="00026A1C" w:rsidRDefault="00B806A4" w:rsidP="0059598F">
      <w:pPr>
        <w:spacing w:after="0"/>
        <w:jc w:val="both"/>
        <w:rPr>
          <w:rFonts w:ascii="Arial Narrow" w:hAnsi="Arial Narrow"/>
        </w:rPr>
      </w:pPr>
    </w:p>
    <w:p w14:paraId="27DFD650" w14:textId="7B52E355" w:rsidR="00026A1C" w:rsidRPr="00026A1C" w:rsidRDefault="00026A1C" w:rsidP="00026A1C">
      <w:pPr>
        <w:spacing w:before="120" w:after="120"/>
        <w:rPr>
          <w:rFonts w:ascii="Arial Narrow" w:hAnsi="Arial Narrow"/>
          <w:b/>
          <w:bCs/>
          <w:color w:val="1E6D37"/>
        </w:rPr>
      </w:pPr>
      <w:r w:rsidRPr="00026A1C">
        <w:rPr>
          <w:rFonts w:ascii="Arial Narrow" w:hAnsi="Arial Narrow"/>
          <w:b/>
          <w:bCs/>
          <w:color w:val="1E6D37"/>
        </w:rPr>
        <w:t xml:space="preserve">Question </w:t>
      </w:r>
      <w:r w:rsidRPr="00026A1C">
        <w:rPr>
          <w:rFonts w:ascii="Arial Narrow" w:hAnsi="Arial Narrow"/>
          <w:b/>
          <w:bCs/>
          <w:color w:val="1E6D37"/>
        </w:rPr>
        <w:t>4</w:t>
      </w:r>
      <w:r w:rsidRPr="00026A1C">
        <w:rPr>
          <w:rFonts w:ascii="Arial Narrow" w:hAnsi="Arial Narrow"/>
          <w:b/>
          <w:bCs/>
          <w:color w:val="1E6D37"/>
        </w:rPr>
        <w:t>:</w:t>
      </w:r>
    </w:p>
    <w:p w14:paraId="2A114522" w14:textId="77777777" w:rsidR="00026A1C" w:rsidRPr="00026A1C" w:rsidRDefault="00026A1C" w:rsidP="00026A1C">
      <w:pPr>
        <w:spacing w:after="0"/>
        <w:jc w:val="both"/>
        <w:rPr>
          <w:rFonts w:ascii="Arial Narrow" w:hAnsi="Arial Narrow"/>
        </w:rPr>
      </w:pPr>
      <w:r w:rsidRPr="00026A1C">
        <w:rPr>
          <w:rFonts w:ascii="Arial Narrow" w:hAnsi="Arial Narrow"/>
        </w:rPr>
        <w:t xml:space="preserve">What </w:t>
      </w:r>
      <w:proofErr w:type="gramStart"/>
      <w:r w:rsidRPr="00026A1C">
        <w:rPr>
          <w:rFonts w:ascii="Arial Narrow" w:hAnsi="Arial Narrow"/>
        </w:rPr>
        <w:t>time period</w:t>
      </w:r>
      <w:proofErr w:type="gramEnd"/>
      <w:r w:rsidRPr="00026A1C">
        <w:rPr>
          <w:rFonts w:ascii="Arial Narrow" w:hAnsi="Arial Narrow"/>
        </w:rPr>
        <w:t xml:space="preserve"> of data must be reported by June 1 of each year?</w:t>
      </w:r>
    </w:p>
    <w:p w14:paraId="599157CD" w14:textId="77777777" w:rsidR="00026A1C" w:rsidRPr="00026A1C" w:rsidRDefault="00026A1C" w:rsidP="00026A1C">
      <w:pPr>
        <w:spacing w:after="0" w:line="480" w:lineRule="auto"/>
        <w:rPr>
          <w:rFonts w:ascii="Arial Narrow" w:hAnsi="Arial Narrow"/>
          <w:b/>
          <w:bCs/>
          <w:color w:val="1E6D37"/>
        </w:rPr>
      </w:pPr>
      <w:r w:rsidRPr="00026A1C">
        <w:rPr>
          <w:rFonts w:ascii="Arial Narrow" w:hAnsi="Arial Narrow"/>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CBF3C3" w14:textId="77777777" w:rsidR="00B806A4" w:rsidRPr="00026A1C" w:rsidRDefault="00B806A4" w:rsidP="00026A1C">
      <w:pPr>
        <w:spacing w:after="0"/>
        <w:jc w:val="both"/>
        <w:rPr>
          <w:rFonts w:ascii="Arial Narrow" w:hAnsi="Arial Narrow"/>
        </w:rPr>
      </w:pPr>
    </w:p>
    <w:p w14:paraId="2B0D36AE" w14:textId="5C9811E0" w:rsidR="00026A1C" w:rsidRPr="00026A1C" w:rsidRDefault="00026A1C" w:rsidP="00026A1C">
      <w:pPr>
        <w:spacing w:before="120" w:after="120"/>
        <w:rPr>
          <w:rFonts w:ascii="Arial Narrow" w:hAnsi="Arial Narrow"/>
          <w:b/>
          <w:bCs/>
          <w:color w:val="1E6D37"/>
        </w:rPr>
      </w:pPr>
      <w:r w:rsidRPr="00026A1C">
        <w:rPr>
          <w:rFonts w:ascii="Arial Narrow" w:hAnsi="Arial Narrow"/>
          <w:b/>
          <w:bCs/>
          <w:color w:val="1E6D37"/>
        </w:rPr>
        <w:t xml:space="preserve">Question </w:t>
      </w:r>
      <w:r w:rsidRPr="00026A1C">
        <w:rPr>
          <w:rFonts w:ascii="Arial Narrow" w:hAnsi="Arial Narrow"/>
          <w:b/>
          <w:bCs/>
          <w:color w:val="1E6D37"/>
        </w:rPr>
        <w:t>5</w:t>
      </w:r>
      <w:r w:rsidRPr="00026A1C">
        <w:rPr>
          <w:rFonts w:ascii="Arial Narrow" w:hAnsi="Arial Narrow"/>
          <w:b/>
          <w:bCs/>
          <w:color w:val="1E6D37"/>
        </w:rPr>
        <w:t>:</w:t>
      </w:r>
    </w:p>
    <w:p w14:paraId="083BCB55" w14:textId="77777777" w:rsidR="00026A1C" w:rsidRPr="00026A1C" w:rsidRDefault="00026A1C" w:rsidP="00026A1C">
      <w:pPr>
        <w:spacing w:after="0"/>
        <w:jc w:val="both"/>
        <w:rPr>
          <w:rFonts w:ascii="Arial Narrow" w:hAnsi="Arial Narrow"/>
        </w:rPr>
      </w:pPr>
      <w:r w:rsidRPr="00026A1C">
        <w:rPr>
          <w:rFonts w:ascii="Arial Narrow" w:hAnsi="Arial Narrow"/>
        </w:rPr>
        <w:t xml:space="preserve">May banks use third party vendors and service provides to </w:t>
      </w:r>
      <w:proofErr w:type="gramStart"/>
      <w:r w:rsidRPr="00026A1C">
        <w:rPr>
          <w:rFonts w:ascii="Arial Narrow" w:hAnsi="Arial Narrow"/>
        </w:rPr>
        <w:t>comply?</w:t>
      </w:r>
      <w:proofErr w:type="gramEnd"/>
    </w:p>
    <w:p w14:paraId="147687BD" w14:textId="77777777" w:rsidR="00026A1C" w:rsidRPr="00026A1C" w:rsidRDefault="00026A1C" w:rsidP="00026A1C">
      <w:pPr>
        <w:spacing w:after="0" w:line="480" w:lineRule="auto"/>
        <w:rPr>
          <w:rFonts w:ascii="Arial Narrow" w:hAnsi="Arial Narrow"/>
          <w:b/>
          <w:bCs/>
          <w:color w:val="1E6D37"/>
        </w:rPr>
      </w:pPr>
      <w:r w:rsidRPr="00026A1C">
        <w:rPr>
          <w:rFonts w:ascii="Arial Narrow" w:hAnsi="Arial Narrow"/>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DD605B" w14:textId="77777777" w:rsidR="00B806A4" w:rsidRPr="00026A1C" w:rsidRDefault="00B806A4" w:rsidP="00026A1C">
      <w:pPr>
        <w:spacing w:after="0"/>
        <w:jc w:val="both"/>
        <w:rPr>
          <w:rFonts w:ascii="Arial Narrow" w:hAnsi="Arial Narrow"/>
        </w:rPr>
      </w:pPr>
    </w:p>
    <w:p w14:paraId="3D973DE8" w14:textId="77777777" w:rsidR="00B806A4" w:rsidRDefault="00B806A4" w:rsidP="00D73B7B">
      <w:pPr>
        <w:pStyle w:val="ListParagraph"/>
        <w:spacing w:after="0"/>
        <w:jc w:val="both"/>
        <w:rPr>
          <w:rFonts w:ascii="Arial Narrow" w:hAnsi="Arial Narrow"/>
        </w:rPr>
      </w:pPr>
    </w:p>
    <w:p w14:paraId="15AAAA24" w14:textId="77777777" w:rsidR="00B806A4" w:rsidRDefault="00B806A4" w:rsidP="00D73B7B">
      <w:pPr>
        <w:pStyle w:val="ListParagraph"/>
        <w:spacing w:after="0"/>
        <w:jc w:val="both"/>
        <w:rPr>
          <w:rFonts w:ascii="Arial Narrow" w:hAnsi="Arial Narrow"/>
        </w:rPr>
      </w:pPr>
    </w:p>
    <w:p w14:paraId="7A13BC41" w14:textId="0C4C3F79" w:rsidR="00B806A4" w:rsidRDefault="00B806A4" w:rsidP="00D73B7B">
      <w:pPr>
        <w:pStyle w:val="ListParagraph"/>
        <w:spacing w:after="0"/>
        <w:jc w:val="both"/>
        <w:rPr>
          <w:rFonts w:ascii="Arial Narrow" w:hAnsi="Arial Narrow"/>
        </w:rPr>
      </w:pPr>
    </w:p>
    <w:p w14:paraId="642BBE6D" w14:textId="7D3541A6" w:rsidR="00CE0B37" w:rsidRDefault="00CE0B37" w:rsidP="00D73B7B">
      <w:pPr>
        <w:pStyle w:val="ListParagraph"/>
        <w:spacing w:after="0"/>
        <w:jc w:val="both"/>
        <w:rPr>
          <w:rFonts w:ascii="Arial Narrow" w:hAnsi="Arial Narrow"/>
        </w:rPr>
      </w:pPr>
    </w:p>
    <w:p w14:paraId="7F246647" w14:textId="32749E11" w:rsidR="00CE0B37" w:rsidRDefault="00CE0B37" w:rsidP="00D73B7B">
      <w:pPr>
        <w:pStyle w:val="ListParagraph"/>
        <w:spacing w:after="0"/>
        <w:jc w:val="both"/>
        <w:rPr>
          <w:rFonts w:ascii="Arial Narrow" w:hAnsi="Arial Narrow"/>
        </w:rPr>
      </w:pPr>
    </w:p>
    <w:p w14:paraId="3EE0B7C9" w14:textId="4DF76A0B" w:rsidR="00CE0B37" w:rsidRDefault="00CE0B37" w:rsidP="00D73B7B">
      <w:pPr>
        <w:pStyle w:val="ListParagraph"/>
        <w:spacing w:after="0"/>
        <w:jc w:val="both"/>
        <w:rPr>
          <w:rFonts w:ascii="Arial Narrow" w:hAnsi="Arial Narrow"/>
        </w:rPr>
      </w:pPr>
    </w:p>
    <w:p w14:paraId="27AC018A" w14:textId="0CC3C0EF" w:rsidR="00CE0B37" w:rsidRDefault="00CE0B37" w:rsidP="00D73B7B">
      <w:pPr>
        <w:pStyle w:val="ListParagraph"/>
        <w:spacing w:after="0"/>
        <w:jc w:val="both"/>
        <w:rPr>
          <w:rFonts w:ascii="Arial Narrow" w:hAnsi="Arial Narrow"/>
        </w:rPr>
      </w:pPr>
    </w:p>
    <w:p w14:paraId="4CCD5456" w14:textId="7C2933F7" w:rsidR="00CE0B37" w:rsidRDefault="00CE0B37" w:rsidP="00D73B7B">
      <w:pPr>
        <w:pStyle w:val="ListParagraph"/>
        <w:spacing w:after="0"/>
        <w:jc w:val="both"/>
        <w:rPr>
          <w:rFonts w:ascii="Arial Narrow" w:hAnsi="Arial Narrow"/>
        </w:rPr>
      </w:pPr>
    </w:p>
    <w:p w14:paraId="53BB8AEF" w14:textId="5CCDC492" w:rsidR="00CE0B37" w:rsidRDefault="00CE0B37" w:rsidP="00D73B7B">
      <w:pPr>
        <w:pStyle w:val="ListParagraph"/>
        <w:spacing w:after="0"/>
        <w:jc w:val="both"/>
        <w:rPr>
          <w:rFonts w:ascii="Arial Narrow" w:hAnsi="Arial Narrow"/>
        </w:rPr>
      </w:pPr>
    </w:p>
    <w:p w14:paraId="5CFAF565" w14:textId="22A51429" w:rsidR="00CE0B37" w:rsidRDefault="00CE0B37" w:rsidP="00D73B7B">
      <w:pPr>
        <w:pStyle w:val="ListParagraph"/>
        <w:spacing w:after="0"/>
        <w:jc w:val="both"/>
        <w:rPr>
          <w:rFonts w:ascii="Arial Narrow" w:hAnsi="Arial Narrow"/>
        </w:rPr>
      </w:pPr>
    </w:p>
    <w:p w14:paraId="32033506" w14:textId="4015EFA3" w:rsidR="00CE0B37" w:rsidRDefault="00CE0B37" w:rsidP="00D73B7B">
      <w:pPr>
        <w:pStyle w:val="ListParagraph"/>
        <w:spacing w:after="0"/>
        <w:jc w:val="both"/>
        <w:rPr>
          <w:rFonts w:ascii="Arial Narrow" w:hAnsi="Arial Narrow"/>
        </w:rPr>
      </w:pPr>
    </w:p>
    <w:p w14:paraId="24970C7E" w14:textId="51C7142A" w:rsidR="00CE0B37" w:rsidRDefault="00CE0B37" w:rsidP="00D73B7B">
      <w:pPr>
        <w:pStyle w:val="ListParagraph"/>
        <w:spacing w:after="0"/>
        <w:jc w:val="both"/>
        <w:rPr>
          <w:rFonts w:ascii="Arial Narrow" w:hAnsi="Arial Narrow"/>
        </w:rPr>
      </w:pPr>
    </w:p>
    <w:p w14:paraId="5D5D79A8" w14:textId="6610F92C" w:rsidR="00CE0B37" w:rsidRDefault="00CE0B37" w:rsidP="00D73B7B">
      <w:pPr>
        <w:pStyle w:val="ListParagraph"/>
        <w:spacing w:after="0"/>
        <w:jc w:val="both"/>
        <w:rPr>
          <w:rFonts w:ascii="Arial Narrow" w:hAnsi="Arial Narrow"/>
        </w:rPr>
      </w:pPr>
    </w:p>
    <w:p w14:paraId="3433F057" w14:textId="47980DE6" w:rsidR="00CE0B37" w:rsidRDefault="00CE0B37" w:rsidP="00D73B7B">
      <w:pPr>
        <w:pStyle w:val="ListParagraph"/>
        <w:spacing w:after="0"/>
        <w:jc w:val="both"/>
        <w:rPr>
          <w:rFonts w:ascii="Arial Narrow" w:hAnsi="Arial Narrow"/>
        </w:rPr>
      </w:pPr>
    </w:p>
    <w:p w14:paraId="2F5A17A8" w14:textId="2E4A5F79" w:rsidR="00CE0B37" w:rsidRDefault="00CE0B37" w:rsidP="00D73B7B">
      <w:pPr>
        <w:pStyle w:val="ListParagraph"/>
        <w:spacing w:after="0"/>
        <w:jc w:val="both"/>
        <w:rPr>
          <w:rFonts w:ascii="Arial Narrow" w:hAnsi="Arial Narrow"/>
        </w:rPr>
      </w:pPr>
    </w:p>
    <w:p w14:paraId="763D7DD2" w14:textId="3010CB77" w:rsidR="00CE0B37" w:rsidRDefault="00CE0B37" w:rsidP="00D73B7B">
      <w:pPr>
        <w:pStyle w:val="ListParagraph"/>
        <w:spacing w:after="0"/>
        <w:jc w:val="both"/>
        <w:rPr>
          <w:rFonts w:ascii="Arial Narrow" w:hAnsi="Arial Narrow"/>
        </w:rPr>
      </w:pPr>
    </w:p>
    <w:p w14:paraId="0F5A568C" w14:textId="17B6E2D2" w:rsidR="00CE0B37" w:rsidRDefault="00CE0B37" w:rsidP="00D73B7B">
      <w:pPr>
        <w:pStyle w:val="ListParagraph"/>
        <w:spacing w:after="0"/>
        <w:jc w:val="both"/>
        <w:rPr>
          <w:rFonts w:ascii="Arial Narrow" w:hAnsi="Arial Narrow"/>
        </w:rPr>
      </w:pPr>
    </w:p>
    <w:p w14:paraId="5E286156" w14:textId="4E2B1248" w:rsidR="00CE0B37" w:rsidRDefault="00CE0B37" w:rsidP="00D73B7B">
      <w:pPr>
        <w:pStyle w:val="ListParagraph"/>
        <w:spacing w:after="0"/>
        <w:jc w:val="both"/>
        <w:rPr>
          <w:rFonts w:ascii="Arial Narrow" w:hAnsi="Arial Narrow"/>
        </w:rPr>
      </w:pPr>
    </w:p>
    <w:p w14:paraId="5B0D4A72" w14:textId="5E11CD54" w:rsidR="00CE0B37" w:rsidRDefault="00CE0B37" w:rsidP="00CE0B37">
      <w:pPr>
        <w:pStyle w:val="Title"/>
        <w:spacing w:before="120" w:after="120" w:line="276" w:lineRule="auto"/>
        <w:ind w:right="0"/>
        <w:jc w:val="left"/>
        <w:rPr>
          <w:rFonts w:ascii="Arial Narrow" w:hAnsi="Arial Narrow"/>
          <w:color w:val="218649"/>
          <w:sz w:val="28"/>
          <w:szCs w:val="28"/>
        </w:rPr>
      </w:pPr>
    </w:p>
    <w:p w14:paraId="6BFEF0D8" w14:textId="77777777" w:rsidR="00CE0B37" w:rsidRDefault="00CE0B37" w:rsidP="00CE0B37">
      <w:pPr>
        <w:pStyle w:val="Title"/>
        <w:spacing w:before="120" w:after="120" w:line="276" w:lineRule="auto"/>
        <w:ind w:right="0"/>
        <w:jc w:val="left"/>
        <w:rPr>
          <w:rFonts w:ascii="Arial Narrow" w:hAnsi="Arial Narrow"/>
          <w:color w:val="218649"/>
          <w:sz w:val="28"/>
          <w:szCs w:val="28"/>
        </w:rPr>
      </w:pPr>
    </w:p>
    <w:p w14:paraId="27EDE14A" w14:textId="77777777" w:rsidR="00CE0B37" w:rsidRDefault="00CE0B37" w:rsidP="00CE0B37">
      <w:pPr>
        <w:pStyle w:val="Title"/>
        <w:spacing w:before="120" w:after="120" w:line="276" w:lineRule="auto"/>
        <w:ind w:right="0"/>
        <w:jc w:val="left"/>
        <w:rPr>
          <w:rFonts w:ascii="Arial Narrow" w:hAnsi="Arial Narrow"/>
          <w:color w:val="218649"/>
          <w:sz w:val="28"/>
          <w:szCs w:val="28"/>
        </w:rPr>
      </w:pPr>
      <w:r>
        <w:rPr>
          <w:rFonts w:ascii="Arial Narrow" w:hAnsi="Arial Narrow"/>
          <w:b w:val="0"/>
          <w:noProof/>
          <w:color w:val="218649"/>
        </w:rPr>
        <w:lastRenderedPageBreak/>
        <w:drawing>
          <wp:anchor distT="0" distB="0" distL="114300" distR="114300" simplePos="0" relativeHeight="251664384" behindDoc="0" locked="0" layoutInCell="1" allowOverlap="1" wp14:anchorId="2922C20D" wp14:editId="357B38DA">
            <wp:simplePos x="0" y="0"/>
            <wp:positionH relativeFrom="column">
              <wp:posOffset>0</wp:posOffset>
            </wp:positionH>
            <wp:positionV relativeFrom="paragraph">
              <wp:posOffset>0</wp:posOffset>
            </wp:positionV>
            <wp:extent cx="571500" cy="571500"/>
            <wp:effectExtent l="0" t="0" r="0" b="0"/>
            <wp:wrapNone/>
            <wp:docPr id="5" name="Picture 5" descr="Description: CA_Logo-Sq-Color-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A_Logo-Sq-Color-X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E8A09B" w14:textId="77777777" w:rsidR="00CE0B37" w:rsidRDefault="00CE0B37" w:rsidP="00CE0B37">
      <w:pPr>
        <w:pStyle w:val="Title"/>
        <w:spacing w:before="120" w:after="120" w:line="276" w:lineRule="auto"/>
        <w:ind w:right="0"/>
        <w:rPr>
          <w:rFonts w:ascii="Arial Narrow" w:hAnsi="Arial Narrow"/>
          <w:color w:val="218649"/>
          <w:sz w:val="28"/>
          <w:szCs w:val="28"/>
        </w:rPr>
      </w:pPr>
    </w:p>
    <w:p w14:paraId="56665A83" w14:textId="77777777" w:rsidR="00CE0B37" w:rsidRDefault="00CE0B37" w:rsidP="00CE0B37">
      <w:pPr>
        <w:pStyle w:val="Title"/>
        <w:spacing w:before="120" w:after="120" w:line="276" w:lineRule="auto"/>
        <w:ind w:right="0"/>
        <w:rPr>
          <w:rFonts w:ascii="Arial Narrow" w:hAnsi="Arial Narrow"/>
          <w:color w:val="218649"/>
          <w:sz w:val="28"/>
          <w:szCs w:val="28"/>
        </w:rPr>
      </w:pPr>
    </w:p>
    <w:p w14:paraId="2FAB2557" w14:textId="77777777" w:rsidR="00CE0B37" w:rsidRDefault="00CE0B37" w:rsidP="00CE0B37">
      <w:pPr>
        <w:pStyle w:val="Title"/>
        <w:spacing w:before="120" w:after="120" w:line="276" w:lineRule="auto"/>
        <w:ind w:right="0"/>
        <w:rPr>
          <w:rFonts w:ascii="Arial Narrow" w:hAnsi="Arial Narrow"/>
          <w:color w:val="218649"/>
          <w:sz w:val="28"/>
          <w:szCs w:val="28"/>
        </w:rPr>
      </w:pPr>
      <w:r>
        <w:rPr>
          <w:rFonts w:ascii="Arial Narrow" w:hAnsi="Arial Narrow"/>
          <w:color w:val="218649"/>
          <w:sz w:val="28"/>
          <w:szCs w:val="28"/>
        </w:rPr>
        <w:t xml:space="preserve">Deep Dive into the Section 1071 Final Rule </w:t>
      </w:r>
    </w:p>
    <w:p w14:paraId="53C43499" w14:textId="4B53A6BB" w:rsidR="00CE0B37" w:rsidRDefault="00CE0B37" w:rsidP="00CE0B37">
      <w:pPr>
        <w:pStyle w:val="Title"/>
        <w:spacing w:before="120" w:after="120" w:line="276" w:lineRule="auto"/>
        <w:ind w:right="0"/>
        <w:rPr>
          <w:rFonts w:ascii="Arial Narrow" w:hAnsi="Arial Narrow"/>
          <w:color w:val="218649"/>
          <w:sz w:val="28"/>
          <w:szCs w:val="28"/>
        </w:rPr>
      </w:pPr>
      <w:r>
        <w:rPr>
          <w:rFonts w:ascii="Arial Narrow" w:hAnsi="Arial Narrow"/>
          <w:color w:val="218649"/>
          <w:sz w:val="28"/>
          <w:szCs w:val="28"/>
        </w:rPr>
        <w:t xml:space="preserve">FAQ: </w:t>
      </w:r>
      <w:r>
        <w:rPr>
          <w:rFonts w:ascii="Arial Narrow" w:hAnsi="Arial Narrow"/>
          <w:color w:val="218649"/>
          <w:sz w:val="28"/>
          <w:szCs w:val="28"/>
        </w:rPr>
        <w:t>Answers</w:t>
      </w:r>
    </w:p>
    <w:p w14:paraId="63303C75" w14:textId="2233D258" w:rsidR="00CE0B37" w:rsidRPr="00027C98" w:rsidRDefault="00CE0B37" w:rsidP="00CE0B37">
      <w:pPr>
        <w:pStyle w:val="Title"/>
        <w:spacing w:before="120" w:after="120" w:line="276" w:lineRule="auto"/>
        <w:ind w:right="0"/>
        <w:jc w:val="left"/>
        <w:rPr>
          <w:rFonts w:ascii="Arial Narrow" w:hAnsi="Arial Narrow"/>
          <w:color w:val="218649"/>
          <w:sz w:val="28"/>
          <w:szCs w:val="28"/>
        </w:rPr>
      </w:pPr>
      <w:r>
        <w:rPr>
          <w:rFonts w:ascii="Arial Narrow" w:hAnsi="Arial Narrow"/>
          <w:color w:val="218649"/>
          <w:sz w:val="28"/>
          <w:szCs w:val="28"/>
        </w:rPr>
        <w:t>_________________________________________________________________________</w:t>
      </w:r>
    </w:p>
    <w:p w14:paraId="2A319B70" w14:textId="77777777" w:rsidR="00C07E51" w:rsidRDefault="00C07E51" w:rsidP="004E38F7">
      <w:pPr>
        <w:spacing w:after="0"/>
        <w:jc w:val="both"/>
        <w:rPr>
          <w:rFonts w:ascii="Arial Narrow" w:hAnsi="Arial Narrow"/>
          <w:color w:val="218649"/>
          <w:sz w:val="28"/>
          <w:szCs w:val="28"/>
        </w:rPr>
      </w:pPr>
    </w:p>
    <w:p w14:paraId="5DAF109D" w14:textId="77777777" w:rsidR="00CE0B37" w:rsidRPr="00CE0B37" w:rsidRDefault="000E1250" w:rsidP="00CE0B37">
      <w:pPr>
        <w:spacing w:after="0"/>
        <w:jc w:val="both"/>
        <w:rPr>
          <w:rFonts w:ascii="Arial Narrow" w:hAnsi="Arial Narrow"/>
          <w:b/>
          <w:bCs/>
          <w:color w:val="218649"/>
        </w:rPr>
      </w:pPr>
      <w:r w:rsidRPr="00CE0B37">
        <w:rPr>
          <w:rFonts w:ascii="Arial Narrow" w:hAnsi="Arial Narrow"/>
          <w:b/>
          <w:bCs/>
          <w:color w:val="218649"/>
        </w:rPr>
        <w:t>Answer</w:t>
      </w:r>
      <w:r w:rsidR="00CE0B37" w:rsidRPr="00CE0B37">
        <w:rPr>
          <w:rFonts w:ascii="Arial Narrow" w:hAnsi="Arial Narrow"/>
          <w:b/>
          <w:bCs/>
          <w:color w:val="218649"/>
        </w:rPr>
        <w:t xml:space="preserve"> 1</w:t>
      </w:r>
      <w:r w:rsidRPr="00CE0B37">
        <w:rPr>
          <w:rFonts w:ascii="Arial Narrow" w:hAnsi="Arial Narrow"/>
          <w:b/>
          <w:bCs/>
          <w:color w:val="218649"/>
        </w:rPr>
        <w:t xml:space="preserve">: </w:t>
      </w:r>
      <w:r w:rsidR="00C93476" w:rsidRPr="00CE0B37">
        <w:rPr>
          <w:rFonts w:ascii="Arial Narrow" w:hAnsi="Arial Narrow"/>
          <w:b/>
          <w:bCs/>
          <w:color w:val="218649"/>
        </w:rPr>
        <w:tab/>
      </w:r>
    </w:p>
    <w:p w14:paraId="1739B7D0" w14:textId="775A48FD" w:rsidR="00C93476" w:rsidRDefault="000B6752" w:rsidP="00CE0B37">
      <w:pPr>
        <w:spacing w:after="0"/>
        <w:jc w:val="both"/>
        <w:rPr>
          <w:rFonts w:ascii="Arial Narrow" w:hAnsi="Arial Narrow"/>
        </w:rPr>
      </w:pPr>
      <w:r>
        <w:rPr>
          <w:rFonts w:ascii="Arial Narrow" w:hAnsi="Arial Narrow"/>
        </w:rPr>
        <w:t xml:space="preserve">It appears </w:t>
      </w:r>
      <w:r w:rsidR="00FB26E1">
        <w:rPr>
          <w:rFonts w:ascii="Arial Narrow" w:hAnsi="Arial Narrow"/>
        </w:rPr>
        <w:t xml:space="preserve">through enforcement of existing Fair Lending and other federal laws that govern this area.  The guidance states that </w:t>
      </w:r>
      <w:r w:rsidR="007A3DDA" w:rsidRPr="007A3DDA">
        <w:rPr>
          <w:rFonts w:ascii="Arial Narrow" w:hAnsi="Arial Narrow"/>
        </w:rPr>
        <w:t>in passing section 1071,</w:t>
      </w:r>
      <w:r w:rsidR="007A3DDA">
        <w:rPr>
          <w:rFonts w:ascii="Arial Narrow" w:hAnsi="Arial Narrow"/>
        </w:rPr>
        <w:t xml:space="preserve"> </w:t>
      </w:r>
      <w:r w:rsidR="007A3DDA" w:rsidRPr="007A3DDA">
        <w:rPr>
          <w:rFonts w:ascii="Arial Narrow" w:hAnsi="Arial Narrow"/>
        </w:rPr>
        <w:t>Congress articulated two purposes for requiring the Bureau to collect data on small business</w:t>
      </w:r>
      <w:r w:rsidR="00FB26E1">
        <w:rPr>
          <w:rFonts w:ascii="Arial Narrow" w:hAnsi="Arial Narrow"/>
        </w:rPr>
        <w:t xml:space="preserve"> </w:t>
      </w:r>
      <w:r w:rsidR="007A3DDA" w:rsidRPr="007A3DDA">
        <w:rPr>
          <w:rFonts w:ascii="Arial Narrow" w:hAnsi="Arial Narrow"/>
        </w:rPr>
        <w:t>credit applications and loan</w:t>
      </w:r>
      <w:r w:rsidR="007A3DDA">
        <w:rPr>
          <w:rFonts w:ascii="Arial Narrow" w:hAnsi="Arial Narrow"/>
        </w:rPr>
        <w:t xml:space="preserve">s, one of which is </w:t>
      </w:r>
      <w:r w:rsidR="007A3DDA" w:rsidRPr="007A3DDA">
        <w:rPr>
          <w:rFonts w:ascii="Arial Narrow" w:hAnsi="Arial Narrow"/>
        </w:rPr>
        <w:t>to “facilitate enforcement of fair lending laws”</w:t>
      </w:r>
      <w:r>
        <w:rPr>
          <w:rFonts w:ascii="Arial Narrow" w:hAnsi="Arial Narrow"/>
        </w:rPr>
        <w:t xml:space="preserve">. </w:t>
      </w:r>
      <w:r w:rsidR="007A3DDA" w:rsidRPr="007A3DDA">
        <w:rPr>
          <w:rFonts w:ascii="Arial Narrow" w:hAnsi="Arial Narrow"/>
        </w:rPr>
        <w:t xml:space="preserve">Although the Dodd-Frank Act does not further explain </w:t>
      </w:r>
      <w:r>
        <w:rPr>
          <w:rFonts w:ascii="Arial Narrow" w:hAnsi="Arial Narrow"/>
        </w:rPr>
        <w:t xml:space="preserve">this, </w:t>
      </w:r>
      <w:r w:rsidR="007A3DDA" w:rsidRPr="007A3DDA">
        <w:rPr>
          <w:rFonts w:ascii="Arial Narrow" w:hAnsi="Arial Narrow"/>
        </w:rPr>
        <w:t>other Federal laws shed light on both purposes. That is, a set of existing</w:t>
      </w:r>
      <w:r>
        <w:rPr>
          <w:rFonts w:ascii="Arial Narrow" w:hAnsi="Arial Narrow"/>
        </w:rPr>
        <w:t xml:space="preserve"> </w:t>
      </w:r>
      <w:r w:rsidR="007A3DDA" w:rsidRPr="007A3DDA">
        <w:rPr>
          <w:rFonts w:ascii="Arial Narrow" w:hAnsi="Arial Narrow"/>
        </w:rPr>
        <w:t>Federal laws form the backdrop for the use of small business lending data collected and reported</w:t>
      </w:r>
      <w:r w:rsidR="00FB26E1">
        <w:rPr>
          <w:rFonts w:ascii="Arial Narrow" w:hAnsi="Arial Narrow"/>
        </w:rPr>
        <w:t xml:space="preserve"> </w:t>
      </w:r>
      <w:r w:rsidR="007A3DDA" w:rsidRPr="007A3DDA">
        <w:rPr>
          <w:rFonts w:ascii="Arial Narrow" w:hAnsi="Arial Narrow"/>
        </w:rPr>
        <w:t>pursuant to section 1071 to facilitate the enforcement of fair lending laws, and to identify</w:t>
      </w:r>
      <w:r>
        <w:rPr>
          <w:rFonts w:ascii="Arial Narrow" w:hAnsi="Arial Narrow"/>
        </w:rPr>
        <w:t xml:space="preserve"> </w:t>
      </w:r>
      <w:r w:rsidR="007A3DDA" w:rsidRPr="007A3DDA">
        <w:rPr>
          <w:rFonts w:ascii="Arial Narrow" w:hAnsi="Arial Narrow"/>
        </w:rPr>
        <w:t>business and community development needs and opportunities across the United States.</w:t>
      </w:r>
    </w:p>
    <w:p w14:paraId="5BF794AE" w14:textId="77777777" w:rsidR="00CE0B37" w:rsidRDefault="00CE0B37" w:rsidP="00CE0B37">
      <w:pPr>
        <w:spacing w:after="0"/>
        <w:jc w:val="both"/>
        <w:rPr>
          <w:rFonts w:ascii="Arial Narrow" w:hAnsi="Arial Narrow"/>
        </w:rPr>
      </w:pPr>
    </w:p>
    <w:p w14:paraId="435059A1" w14:textId="0F2D67E6" w:rsidR="00CE0B37" w:rsidRPr="00CE0B37" w:rsidRDefault="00F57675" w:rsidP="00CE0B37">
      <w:pPr>
        <w:spacing w:after="0"/>
        <w:jc w:val="both"/>
        <w:rPr>
          <w:rFonts w:ascii="Arial Narrow" w:hAnsi="Arial Narrow"/>
          <w:b/>
          <w:bCs/>
          <w:color w:val="218649"/>
        </w:rPr>
      </w:pPr>
      <w:r w:rsidRPr="00CE0B37">
        <w:rPr>
          <w:rFonts w:ascii="Arial Narrow" w:hAnsi="Arial Narrow"/>
          <w:b/>
          <w:bCs/>
          <w:color w:val="218649"/>
        </w:rPr>
        <w:t>Answer</w:t>
      </w:r>
      <w:r w:rsidR="00CE0B37" w:rsidRPr="00CE0B37">
        <w:rPr>
          <w:rFonts w:ascii="Arial Narrow" w:hAnsi="Arial Narrow"/>
          <w:b/>
          <w:bCs/>
          <w:color w:val="218649"/>
        </w:rPr>
        <w:t xml:space="preserve"> 2: </w:t>
      </w:r>
    </w:p>
    <w:p w14:paraId="575E9481" w14:textId="613EDA7A" w:rsidR="008C7EC2" w:rsidRPr="00CE0B37" w:rsidRDefault="00F57675" w:rsidP="00CE0B37">
      <w:pPr>
        <w:spacing w:after="0"/>
        <w:jc w:val="both"/>
        <w:rPr>
          <w:rFonts w:ascii="Arial Narrow" w:hAnsi="Arial Narrow"/>
        </w:rPr>
      </w:pPr>
      <w:r w:rsidRPr="00CE0B37">
        <w:rPr>
          <w:rFonts w:ascii="Arial Narrow" w:hAnsi="Arial Narrow"/>
        </w:rPr>
        <w:t>The final rule is effective 90 days after its publication in the Federal Register. However, compliance with the final rule is not required at that time. In order to determine when it must begin complying with the final rule, a financial institution must determine which compliance date tier applies to it.</w:t>
      </w:r>
      <w:r w:rsidR="008E76AE" w:rsidRPr="00CE0B37">
        <w:rPr>
          <w:rFonts w:ascii="Arial Narrow" w:hAnsi="Arial Narrow"/>
        </w:rPr>
        <w:t xml:space="preserve">   </w:t>
      </w:r>
      <w:r w:rsidRPr="00CE0B37">
        <w:rPr>
          <w:rFonts w:ascii="Arial Narrow" w:hAnsi="Arial Narrow"/>
        </w:rPr>
        <w:t>Generally, the compliance date tiers in the final rule differ depending on the number of covered originations that a financial institution originated in 2022 and 2023</w:t>
      </w:r>
      <w:r w:rsidR="008E76AE" w:rsidRPr="00CE0B37">
        <w:rPr>
          <w:rFonts w:ascii="Arial Narrow" w:hAnsi="Arial Narrow"/>
        </w:rPr>
        <w:t>.</w:t>
      </w:r>
    </w:p>
    <w:p w14:paraId="540F9B26" w14:textId="77777777" w:rsidR="008E76AE" w:rsidRDefault="008E76AE" w:rsidP="00CE0B37">
      <w:pPr>
        <w:spacing w:after="0"/>
        <w:jc w:val="both"/>
        <w:rPr>
          <w:rFonts w:ascii="Arial Narrow" w:hAnsi="Arial Narrow"/>
        </w:rPr>
      </w:pPr>
    </w:p>
    <w:p w14:paraId="471D5744" w14:textId="77777777" w:rsidR="00CE0B37" w:rsidRPr="00CE0B37" w:rsidRDefault="00CE7E57" w:rsidP="00CE0B37">
      <w:pPr>
        <w:spacing w:after="0"/>
        <w:jc w:val="both"/>
        <w:rPr>
          <w:rFonts w:ascii="Arial Narrow" w:hAnsi="Arial Narrow"/>
          <w:b/>
          <w:bCs/>
          <w:color w:val="218649"/>
        </w:rPr>
      </w:pPr>
      <w:r w:rsidRPr="00CE0B37">
        <w:rPr>
          <w:rFonts w:ascii="Arial Narrow" w:hAnsi="Arial Narrow"/>
          <w:b/>
          <w:bCs/>
          <w:color w:val="218649"/>
        </w:rPr>
        <w:t>Answer</w:t>
      </w:r>
      <w:r w:rsidR="00CE0B37" w:rsidRPr="00CE0B37">
        <w:rPr>
          <w:rFonts w:ascii="Arial Narrow" w:hAnsi="Arial Narrow"/>
          <w:b/>
          <w:bCs/>
          <w:color w:val="218649"/>
        </w:rPr>
        <w:t xml:space="preserve"> 3: </w:t>
      </w:r>
    </w:p>
    <w:p w14:paraId="7C5E01B7" w14:textId="43B9B9E5" w:rsidR="00CE7E57" w:rsidRPr="00CE0B37" w:rsidRDefault="00B16FBE" w:rsidP="00CE0B37">
      <w:pPr>
        <w:spacing w:after="0"/>
        <w:jc w:val="both"/>
        <w:rPr>
          <w:rFonts w:ascii="Arial Narrow" w:hAnsi="Arial Narrow"/>
        </w:rPr>
      </w:pPr>
      <w:r w:rsidRPr="00CE0B37">
        <w:rPr>
          <w:rFonts w:ascii="Arial Narrow" w:hAnsi="Arial Narrow"/>
        </w:rPr>
        <w:t>Yes.  The rule includes a requirement to maintain an applicant’s responses to the final rule’s required inquiries regarding an applicant’s minority-owned, women-owned, and LGBTQI+-owned business statuses and regarding principal owners’ ethnicity, race, and sex separate from the rest of the application and accompanying information.</w:t>
      </w:r>
    </w:p>
    <w:p w14:paraId="1D339B76" w14:textId="77777777" w:rsidR="00B16FBE" w:rsidRDefault="00B16FBE" w:rsidP="00CE0B37">
      <w:pPr>
        <w:spacing w:after="0"/>
        <w:jc w:val="both"/>
        <w:rPr>
          <w:rFonts w:ascii="Arial Narrow" w:hAnsi="Arial Narrow"/>
        </w:rPr>
      </w:pPr>
    </w:p>
    <w:p w14:paraId="3E047418" w14:textId="77777777" w:rsidR="00FC7577" w:rsidRDefault="00FC7577" w:rsidP="00CE0B37">
      <w:pPr>
        <w:pStyle w:val="ListParagraph"/>
        <w:spacing w:after="0"/>
        <w:jc w:val="both"/>
        <w:rPr>
          <w:rFonts w:ascii="Arial Narrow" w:hAnsi="Arial Narrow"/>
        </w:rPr>
      </w:pPr>
    </w:p>
    <w:p w14:paraId="3E707F0F" w14:textId="77777777" w:rsidR="00CE0B37" w:rsidRPr="00CE0B37" w:rsidRDefault="00FC7577" w:rsidP="00CE0B37">
      <w:pPr>
        <w:spacing w:after="0"/>
        <w:jc w:val="both"/>
        <w:rPr>
          <w:rFonts w:ascii="Arial Narrow" w:hAnsi="Arial Narrow"/>
          <w:color w:val="218649"/>
        </w:rPr>
      </w:pPr>
      <w:r w:rsidRPr="00CE0B37">
        <w:rPr>
          <w:rFonts w:ascii="Arial Narrow" w:hAnsi="Arial Narrow"/>
          <w:color w:val="218649"/>
        </w:rPr>
        <w:t>Answer</w:t>
      </w:r>
      <w:r w:rsidR="00CE0B37" w:rsidRPr="00CE0B37">
        <w:rPr>
          <w:rFonts w:ascii="Arial Narrow" w:hAnsi="Arial Narrow"/>
          <w:color w:val="218649"/>
        </w:rPr>
        <w:t xml:space="preserve"> 4</w:t>
      </w:r>
      <w:r w:rsidRPr="00CE0B37">
        <w:rPr>
          <w:rFonts w:ascii="Arial Narrow" w:hAnsi="Arial Narrow"/>
          <w:color w:val="218649"/>
        </w:rPr>
        <w:t xml:space="preserve">: </w:t>
      </w:r>
    </w:p>
    <w:p w14:paraId="689AD893" w14:textId="317DB409" w:rsidR="00FC7577" w:rsidRPr="00CE0B37" w:rsidRDefault="00542A4C" w:rsidP="00CE0B37">
      <w:pPr>
        <w:spacing w:after="0"/>
        <w:jc w:val="both"/>
        <w:rPr>
          <w:rFonts w:ascii="Arial Narrow" w:hAnsi="Arial Narrow"/>
        </w:rPr>
      </w:pPr>
      <w:r w:rsidRPr="00CE0B37">
        <w:rPr>
          <w:rFonts w:ascii="Arial Narrow" w:hAnsi="Arial Narrow"/>
        </w:rPr>
        <w:t>Data must be reported to the CFPB by June 1 of the year following the calendar year in which the financial institution collected the data (e.g., data collected for 2024 must be reported by June 1, 2025). Re</w:t>
      </w:r>
      <w:r w:rsidR="000A2E99" w:rsidRPr="00CE0B37">
        <w:rPr>
          <w:rFonts w:ascii="Arial Narrow" w:hAnsi="Arial Narrow"/>
        </w:rPr>
        <w:t>porting banks must</w:t>
      </w:r>
      <w:r w:rsidRPr="00CE0B37">
        <w:rPr>
          <w:rFonts w:ascii="Arial Narrow" w:hAnsi="Arial Narrow"/>
        </w:rPr>
        <w:t xml:space="preserve"> provide certain identifying information about themselves as part of their submissions. </w:t>
      </w:r>
      <w:r w:rsidR="003C73D2" w:rsidRPr="00CE0B37">
        <w:rPr>
          <w:rFonts w:ascii="Arial Narrow" w:hAnsi="Arial Narrow"/>
        </w:rPr>
        <w:t xml:space="preserve">A </w:t>
      </w:r>
      <w:r w:rsidRPr="00CE0B37">
        <w:rPr>
          <w:rFonts w:ascii="Arial Narrow" w:hAnsi="Arial Narrow"/>
        </w:rPr>
        <w:t>Filing Instructions Guide</w:t>
      </w:r>
      <w:r w:rsidR="003C73D2" w:rsidRPr="00CE0B37">
        <w:rPr>
          <w:rFonts w:ascii="Arial Narrow" w:hAnsi="Arial Narrow"/>
        </w:rPr>
        <w:t xml:space="preserve"> is available here: </w:t>
      </w:r>
      <w:hyperlink r:id="rId11" w:history="1">
        <w:r w:rsidR="003C73D2" w:rsidRPr="00CE0B37">
          <w:rPr>
            <w:rStyle w:val="Hyperlink"/>
            <w:rFonts w:ascii="Arial Narrow" w:hAnsi="Arial Narrow"/>
          </w:rPr>
          <w:t>https://www.consumerfinance.gov/data-research/small-business-lending/filing-instructions-guide/</w:t>
        </w:r>
      </w:hyperlink>
      <w:r w:rsidRPr="00CE0B37">
        <w:rPr>
          <w:rFonts w:ascii="Arial Narrow" w:hAnsi="Arial Narrow"/>
        </w:rPr>
        <w:t>.</w:t>
      </w:r>
    </w:p>
    <w:p w14:paraId="04C374C1" w14:textId="77777777" w:rsidR="00702B98" w:rsidRDefault="00702B98" w:rsidP="00CE0B37">
      <w:pPr>
        <w:spacing w:after="0"/>
        <w:jc w:val="both"/>
        <w:rPr>
          <w:rFonts w:ascii="Arial Narrow" w:hAnsi="Arial Narrow"/>
        </w:rPr>
      </w:pPr>
    </w:p>
    <w:p w14:paraId="50885376" w14:textId="77777777" w:rsidR="004A15C0" w:rsidRDefault="004A15C0" w:rsidP="00CE0B37">
      <w:pPr>
        <w:pStyle w:val="ListParagraph"/>
        <w:spacing w:after="0"/>
        <w:jc w:val="both"/>
        <w:rPr>
          <w:rFonts w:ascii="Arial Narrow" w:hAnsi="Arial Narrow"/>
        </w:rPr>
      </w:pPr>
    </w:p>
    <w:p w14:paraId="322BB24A" w14:textId="77777777" w:rsidR="00CE0B37" w:rsidRPr="00CE0B37" w:rsidRDefault="004A15C0" w:rsidP="00CE0B37">
      <w:pPr>
        <w:spacing w:after="0"/>
        <w:jc w:val="both"/>
        <w:rPr>
          <w:rFonts w:ascii="Arial Narrow" w:hAnsi="Arial Narrow"/>
          <w:b/>
          <w:bCs/>
          <w:color w:val="218649"/>
        </w:rPr>
      </w:pPr>
      <w:r w:rsidRPr="00CE0B37">
        <w:rPr>
          <w:rFonts w:ascii="Arial Narrow" w:hAnsi="Arial Narrow"/>
          <w:b/>
          <w:bCs/>
          <w:color w:val="218649"/>
        </w:rPr>
        <w:t>Answer</w:t>
      </w:r>
      <w:r w:rsidR="00CE0B37" w:rsidRPr="00CE0B37">
        <w:rPr>
          <w:rFonts w:ascii="Arial Narrow" w:hAnsi="Arial Narrow"/>
          <w:b/>
          <w:bCs/>
          <w:color w:val="218649"/>
        </w:rPr>
        <w:t xml:space="preserve"> 5</w:t>
      </w:r>
      <w:r w:rsidRPr="00CE0B37">
        <w:rPr>
          <w:rFonts w:ascii="Arial Narrow" w:hAnsi="Arial Narrow"/>
          <w:b/>
          <w:bCs/>
          <w:color w:val="218649"/>
        </w:rPr>
        <w:t xml:space="preserve">: </w:t>
      </w:r>
    </w:p>
    <w:p w14:paraId="70801F80" w14:textId="2E6A8CCD" w:rsidR="00B806A4" w:rsidRPr="00FA7837" w:rsidRDefault="004A15C0" w:rsidP="00FA7837">
      <w:pPr>
        <w:spacing w:after="0"/>
        <w:jc w:val="both"/>
        <w:rPr>
          <w:rFonts w:ascii="Arial Narrow" w:hAnsi="Arial Narrow"/>
        </w:rPr>
      </w:pPr>
      <w:proofErr w:type="gramStart"/>
      <w:r w:rsidRPr="00CE0B37">
        <w:rPr>
          <w:rFonts w:ascii="Arial Narrow" w:hAnsi="Arial Narrow"/>
        </w:rPr>
        <w:t>As long as</w:t>
      </w:r>
      <w:proofErr w:type="gramEnd"/>
      <w:r w:rsidRPr="00CE0B37">
        <w:rPr>
          <w:rFonts w:ascii="Arial Narrow" w:hAnsi="Arial Narrow"/>
        </w:rPr>
        <w:t xml:space="preserve"> the obligations stated in the rule are met, including collecting data in a manner that does not discourage small businesses from providing it, financial institutions are free to work with third parties to assist them with their compliance obligations, whether that is with respect to data collection, maintenance or reporting</w:t>
      </w:r>
    </w:p>
    <w:sectPr w:rsidR="00B806A4" w:rsidRPr="00FA783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A610F" w14:textId="77777777" w:rsidR="00E50B64" w:rsidRDefault="00E50B64" w:rsidP="0029553F">
      <w:pPr>
        <w:spacing w:after="0" w:line="240" w:lineRule="auto"/>
      </w:pPr>
      <w:r>
        <w:separator/>
      </w:r>
    </w:p>
  </w:endnote>
  <w:endnote w:type="continuationSeparator" w:id="0">
    <w:p w14:paraId="67F06DFF" w14:textId="77777777" w:rsidR="00E50B64" w:rsidRDefault="00E50B64" w:rsidP="00295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7A5F" w14:textId="0876B3C9" w:rsidR="00052879" w:rsidRDefault="00052879" w:rsidP="0029553F">
    <w:pPr>
      <w:pStyle w:val="Footer"/>
      <w:pBdr>
        <w:top w:val="single" w:sz="4" w:space="1" w:color="D9D9D9" w:themeColor="background1" w:themeShade="D9"/>
      </w:pBdr>
      <w:jc w:val="right"/>
    </w:pPr>
    <w:r>
      <w:rPr>
        <w:noProof/>
      </w:rPr>
      <w:drawing>
        <wp:anchor distT="0" distB="0" distL="114300" distR="114300" simplePos="0" relativeHeight="251658240" behindDoc="0" locked="0" layoutInCell="1" allowOverlap="1" wp14:anchorId="4D23ED48" wp14:editId="7652BDE4">
          <wp:simplePos x="0" y="0"/>
          <wp:positionH relativeFrom="column">
            <wp:posOffset>-257861</wp:posOffset>
          </wp:positionH>
          <wp:positionV relativeFrom="paragraph">
            <wp:posOffset>2794</wp:posOffset>
          </wp:positionV>
          <wp:extent cx="381000" cy="38100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rFonts w:ascii="Arial Narrow" w:hAnsi="Arial Narrow" w:cs="Arial"/>
        <w:b/>
        <w:color w:val="242A2E"/>
      </w:rPr>
      <w:t>© Compliance Alliance 20</w:t>
    </w:r>
    <w:r w:rsidR="005D7A4F">
      <w:rPr>
        <w:rFonts w:ascii="Arial Narrow" w:hAnsi="Arial Narrow" w:cs="Arial"/>
        <w:b/>
        <w:color w:val="242A2E"/>
      </w:rPr>
      <w:t>23</w:t>
    </w:r>
    <w:r>
      <w:rPr>
        <w:rFonts w:ascii="Arial Narrow" w:hAnsi="Arial Narrow" w:cs="Arial"/>
        <w:b/>
        <w:color w:val="242A2E"/>
      </w:rPr>
      <w:tab/>
    </w:r>
    <w:r>
      <w:rPr>
        <w:rFonts w:ascii="Arial Narrow" w:hAnsi="Arial Narrow" w:cs="Arial"/>
        <w:b/>
        <w:color w:val="242A2E"/>
      </w:rPr>
      <w:tab/>
    </w:r>
    <w:sdt>
      <w:sdtPr>
        <w:id w:val="1493600115"/>
        <w:docPartObj>
          <w:docPartGallery w:val="Page Numbers (Bottom of Page)"/>
          <w:docPartUnique/>
        </w:docPartObj>
      </w:sdtPr>
      <w:sdtEndPr>
        <w:rPr>
          <w:color w:val="808080" w:themeColor="background1" w:themeShade="80"/>
          <w:spacing w:val="60"/>
        </w:rPr>
      </w:sdtEndPr>
      <w:sdtContent>
        <w:r>
          <w:fldChar w:fldCharType="begin"/>
        </w:r>
        <w:r>
          <w:instrText xml:space="preserve"> PAGE   \* MERGEFORMAT </w:instrText>
        </w:r>
        <w:r>
          <w:fldChar w:fldCharType="separate"/>
        </w:r>
        <w:r w:rsidR="0096262F">
          <w:rPr>
            <w:noProof/>
          </w:rPr>
          <w:t>11</w:t>
        </w:r>
        <w:r>
          <w:rPr>
            <w:noProof/>
          </w:rPr>
          <w:fldChar w:fldCharType="end"/>
        </w:r>
        <w:r>
          <w:t xml:space="preserve"> | </w:t>
        </w:r>
        <w:r>
          <w:rPr>
            <w:color w:val="808080" w:themeColor="background1" w:themeShade="80"/>
            <w:spacing w:val="60"/>
          </w:rPr>
          <w:t>Page</w:t>
        </w:r>
      </w:sdtContent>
    </w:sdt>
  </w:p>
  <w:p w14:paraId="348D4642" w14:textId="77777777" w:rsidR="00052879" w:rsidRDefault="00052879">
    <w:pPr>
      <w:pStyle w:val="Footer"/>
    </w:pPr>
  </w:p>
  <w:p w14:paraId="2ACD3136" w14:textId="77777777" w:rsidR="00052879" w:rsidRDefault="00052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FD895" w14:textId="77777777" w:rsidR="00E50B64" w:rsidRDefault="00E50B64" w:rsidP="0029553F">
      <w:pPr>
        <w:spacing w:after="0" w:line="240" w:lineRule="auto"/>
      </w:pPr>
      <w:r>
        <w:separator/>
      </w:r>
    </w:p>
  </w:footnote>
  <w:footnote w:type="continuationSeparator" w:id="0">
    <w:p w14:paraId="5ACDBAEF" w14:textId="77777777" w:rsidR="00E50B64" w:rsidRDefault="00E50B64" w:rsidP="00295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E7C5B"/>
    <w:multiLevelType w:val="hybridMultilevel"/>
    <w:tmpl w:val="8FAC2FF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35924"/>
    <w:multiLevelType w:val="hybridMultilevel"/>
    <w:tmpl w:val="C2A60154"/>
    <w:lvl w:ilvl="0" w:tplc="089EEF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807C2E"/>
    <w:multiLevelType w:val="hybridMultilevel"/>
    <w:tmpl w:val="C8DEAA14"/>
    <w:lvl w:ilvl="0" w:tplc="9B9C57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161A68"/>
    <w:multiLevelType w:val="hybridMultilevel"/>
    <w:tmpl w:val="D9A2B78E"/>
    <w:lvl w:ilvl="0" w:tplc="04090019">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EA55D7"/>
    <w:multiLevelType w:val="hybridMultilevel"/>
    <w:tmpl w:val="8E782E50"/>
    <w:lvl w:ilvl="0" w:tplc="830A84F8">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741A9"/>
    <w:multiLevelType w:val="hybridMultilevel"/>
    <w:tmpl w:val="23306AA2"/>
    <w:lvl w:ilvl="0" w:tplc="8200B3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1B37D2"/>
    <w:multiLevelType w:val="hybridMultilevel"/>
    <w:tmpl w:val="AFBC35F6"/>
    <w:lvl w:ilvl="0" w:tplc="052249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7C1AEA"/>
    <w:multiLevelType w:val="hybridMultilevel"/>
    <w:tmpl w:val="C0DEBE74"/>
    <w:lvl w:ilvl="0" w:tplc="BCEAD92A">
      <w:start w:val="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9A315B"/>
    <w:multiLevelType w:val="hybridMultilevel"/>
    <w:tmpl w:val="ACFCF464"/>
    <w:lvl w:ilvl="0" w:tplc="55DE8A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4F7A2D"/>
    <w:multiLevelType w:val="hybridMultilevel"/>
    <w:tmpl w:val="FF54C1DE"/>
    <w:lvl w:ilvl="0" w:tplc="D0A272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4C65116"/>
    <w:multiLevelType w:val="hybridMultilevel"/>
    <w:tmpl w:val="7E6ED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F5DBB"/>
    <w:multiLevelType w:val="hybridMultilevel"/>
    <w:tmpl w:val="8D6A9F32"/>
    <w:lvl w:ilvl="0" w:tplc="A3824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F630C7"/>
    <w:multiLevelType w:val="hybridMultilevel"/>
    <w:tmpl w:val="C9FAF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287399"/>
    <w:multiLevelType w:val="hybridMultilevel"/>
    <w:tmpl w:val="883830B4"/>
    <w:lvl w:ilvl="0" w:tplc="6D746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42696B"/>
    <w:multiLevelType w:val="hybridMultilevel"/>
    <w:tmpl w:val="F7C28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906CFD"/>
    <w:multiLevelType w:val="hybridMultilevel"/>
    <w:tmpl w:val="6B4E0B8C"/>
    <w:lvl w:ilvl="0" w:tplc="B9FC7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498393">
    <w:abstractNumId w:val="12"/>
  </w:num>
  <w:num w:numId="2" w16cid:durableId="859123129">
    <w:abstractNumId w:val="15"/>
  </w:num>
  <w:num w:numId="3" w16cid:durableId="1179537663">
    <w:abstractNumId w:val="14"/>
  </w:num>
  <w:num w:numId="4" w16cid:durableId="1656030109">
    <w:abstractNumId w:val="0"/>
  </w:num>
  <w:num w:numId="5" w16cid:durableId="723213730">
    <w:abstractNumId w:val="9"/>
  </w:num>
  <w:num w:numId="6" w16cid:durableId="1502086419">
    <w:abstractNumId w:val="7"/>
  </w:num>
  <w:num w:numId="7" w16cid:durableId="1605379786">
    <w:abstractNumId w:val="4"/>
  </w:num>
  <w:num w:numId="8" w16cid:durableId="852960977">
    <w:abstractNumId w:val="11"/>
  </w:num>
  <w:num w:numId="9" w16cid:durableId="1942103123">
    <w:abstractNumId w:val="2"/>
  </w:num>
  <w:num w:numId="10" w16cid:durableId="474957011">
    <w:abstractNumId w:val="1"/>
  </w:num>
  <w:num w:numId="11" w16cid:durableId="613555181">
    <w:abstractNumId w:val="6"/>
  </w:num>
  <w:num w:numId="12" w16cid:durableId="173955209">
    <w:abstractNumId w:val="13"/>
  </w:num>
  <w:num w:numId="13" w16cid:durableId="176163681">
    <w:abstractNumId w:val="8"/>
  </w:num>
  <w:num w:numId="14" w16cid:durableId="136725192">
    <w:abstractNumId w:val="5"/>
  </w:num>
  <w:num w:numId="15" w16cid:durableId="1488746243">
    <w:abstractNumId w:val="3"/>
  </w:num>
  <w:num w:numId="16" w16cid:durableId="120694345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40A"/>
    <w:rsid w:val="0000146B"/>
    <w:rsid w:val="00003BA3"/>
    <w:rsid w:val="0000616C"/>
    <w:rsid w:val="000143B6"/>
    <w:rsid w:val="00024F62"/>
    <w:rsid w:val="00026A1C"/>
    <w:rsid w:val="0002791E"/>
    <w:rsid w:val="00033058"/>
    <w:rsid w:val="0003334D"/>
    <w:rsid w:val="00041B45"/>
    <w:rsid w:val="000510F9"/>
    <w:rsid w:val="00051C6F"/>
    <w:rsid w:val="00052122"/>
    <w:rsid w:val="00052879"/>
    <w:rsid w:val="00054540"/>
    <w:rsid w:val="00057248"/>
    <w:rsid w:val="00062D5F"/>
    <w:rsid w:val="00065BBC"/>
    <w:rsid w:val="00066B3D"/>
    <w:rsid w:val="00073CC2"/>
    <w:rsid w:val="00077BBF"/>
    <w:rsid w:val="00080B0A"/>
    <w:rsid w:val="0008441C"/>
    <w:rsid w:val="00087B1A"/>
    <w:rsid w:val="000900B9"/>
    <w:rsid w:val="00093298"/>
    <w:rsid w:val="00093EE3"/>
    <w:rsid w:val="000A10F8"/>
    <w:rsid w:val="000A2E99"/>
    <w:rsid w:val="000A4BA3"/>
    <w:rsid w:val="000B0FFE"/>
    <w:rsid w:val="000B2B23"/>
    <w:rsid w:val="000B4645"/>
    <w:rsid w:val="000B6752"/>
    <w:rsid w:val="000B732E"/>
    <w:rsid w:val="000C09B9"/>
    <w:rsid w:val="000C1DF9"/>
    <w:rsid w:val="000C6E05"/>
    <w:rsid w:val="000C751D"/>
    <w:rsid w:val="000D3727"/>
    <w:rsid w:val="000D5F63"/>
    <w:rsid w:val="000D6EA1"/>
    <w:rsid w:val="000D7410"/>
    <w:rsid w:val="000D7DAD"/>
    <w:rsid w:val="000E1250"/>
    <w:rsid w:val="000E2E5C"/>
    <w:rsid w:val="00106507"/>
    <w:rsid w:val="001074B5"/>
    <w:rsid w:val="001136E1"/>
    <w:rsid w:val="00120966"/>
    <w:rsid w:val="00122B88"/>
    <w:rsid w:val="00124CF7"/>
    <w:rsid w:val="001279EE"/>
    <w:rsid w:val="00132699"/>
    <w:rsid w:val="00136E2E"/>
    <w:rsid w:val="00137A2C"/>
    <w:rsid w:val="00144024"/>
    <w:rsid w:val="00147AE0"/>
    <w:rsid w:val="00150113"/>
    <w:rsid w:val="00154DC0"/>
    <w:rsid w:val="00164E05"/>
    <w:rsid w:val="001670D4"/>
    <w:rsid w:val="00172358"/>
    <w:rsid w:val="00173BAC"/>
    <w:rsid w:val="0018326B"/>
    <w:rsid w:val="00183C64"/>
    <w:rsid w:val="00187571"/>
    <w:rsid w:val="001A1FD4"/>
    <w:rsid w:val="001A597F"/>
    <w:rsid w:val="001B2F02"/>
    <w:rsid w:val="001C245F"/>
    <w:rsid w:val="001D6A59"/>
    <w:rsid w:val="001E0784"/>
    <w:rsid w:val="001E1732"/>
    <w:rsid w:val="001F2D86"/>
    <w:rsid w:val="001F4481"/>
    <w:rsid w:val="00200367"/>
    <w:rsid w:val="00202682"/>
    <w:rsid w:val="00212816"/>
    <w:rsid w:val="00213977"/>
    <w:rsid w:val="0022071D"/>
    <w:rsid w:val="00223EA2"/>
    <w:rsid w:val="0022670D"/>
    <w:rsid w:val="00230D35"/>
    <w:rsid w:val="00232F8D"/>
    <w:rsid w:val="00236AF0"/>
    <w:rsid w:val="00237BC0"/>
    <w:rsid w:val="00240EF9"/>
    <w:rsid w:val="00242DD0"/>
    <w:rsid w:val="002430E0"/>
    <w:rsid w:val="00244591"/>
    <w:rsid w:val="002609CA"/>
    <w:rsid w:val="00261455"/>
    <w:rsid w:val="00264481"/>
    <w:rsid w:val="002663DA"/>
    <w:rsid w:val="00266F86"/>
    <w:rsid w:val="00270033"/>
    <w:rsid w:val="002712B5"/>
    <w:rsid w:val="00282E05"/>
    <w:rsid w:val="00284CDF"/>
    <w:rsid w:val="00284F55"/>
    <w:rsid w:val="002852B4"/>
    <w:rsid w:val="002937AF"/>
    <w:rsid w:val="00294FDC"/>
    <w:rsid w:val="00295505"/>
    <w:rsid w:val="0029553F"/>
    <w:rsid w:val="002969D9"/>
    <w:rsid w:val="002B1ED0"/>
    <w:rsid w:val="002B3751"/>
    <w:rsid w:val="002C0987"/>
    <w:rsid w:val="002D5779"/>
    <w:rsid w:val="002D65DF"/>
    <w:rsid w:val="002F078C"/>
    <w:rsid w:val="002F1447"/>
    <w:rsid w:val="002F19B6"/>
    <w:rsid w:val="002F36DF"/>
    <w:rsid w:val="002F4DC8"/>
    <w:rsid w:val="002F6202"/>
    <w:rsid w:val="003063EE"/>
    <w:rsid w:val="00310562"/>
    <w:rsid w:val="003146FC"/>
    <w:rsid w:val="00315E90"/>
    <w:rsid w:val="00322930"/>
    <w:rsid w:val="00323982"/>
    <w:rsid w:val="003306B5"/>
    <w:rsid w:val="00333D92"/>
    <w:rsid w:val="00334916"/>
    <w:rsid w:val="00335064"/>
    <w:rsid w:val="00335C6A"/>
    <w:rsid w:val="00335F58"/>
    <w:rsid w:val="003420A8"/>
    <w:rsid w:val="00342A49"/>
    <w:rsid w:val="00343E50"/>
    <w:rsid w:val="003465C2"/>
    <w:rsid w:val="00347168"/>
    <w:rsid w:val="003511B0"/>
    <w:rsid w:val="003625ED"/>
    <w:rsid w:val="003644B6"/>
    <w:rsid w:val="00370F40"/>
    <w:rsid w:val="00371C76"/>
    <w:rsid w:val="003757BC"/>
    <w:rsid w:val="00376080"/>
    <w:rsid w:val="00376B79"/>
    <w:rsid w:val="003802C1"/>
    <w:rsid w:val="00384ADF"/>
    <w:rsid w:val="00386CD1"/>
    <w:rsid w:val="00391B57"/>
    <w:rsid w:val="003953A2"/>
    <w:rsid w:val="00395CA7"/>
    <w:rsid w:val="003972D9"/>
    <w:rsid w:val="003A09DC"/>
    <w:rsid w:val="003A1E00"/>
    <w:rsid w:val="003A545F"/>
    <w:rsid w:val="003A5E55"/>
    <w:rsid w:val="003C73D2"/>
    <w:rsid w:val="003E5E93"/>
    <w:rsid w:val="003E601E"/>
    <w:rsid w:val="003F175F"/>
    <w:rsid w:val="003F502A"/>
    <w:rsid w:val="003F77CF"/>
    <w:rsid w:val="00402307"/>
    <w:rsid w:val="00402476"/>
    <w:rsid w:val="00403C97"/>
    <w:rsid w:val="00416FCA"/>
    <w:rsid w:val="0042146D"/>
    <w:rsid w:val="0042299B"/>
    <w:rsid w:val="00424520"/>
    <w:rsid w:val="004252A5"/>
    <w:rsid w:val="00425BA5"/>
    <w:rsid w:val="00426FFF"/>
    <w:rsid w:val="004272BC"/>
    <w:rsid w:val="00430BD9"/>
    <w:rsid w:val="0043311F"/>
    <w:rsid w:val="00435430"/>
    <w:rsid w:val="0043608C"/>
    <w:rsid w:val="00451613"/>
    <w:rsid w:val="0045234A"/>
    <w:rsid w:val="00453C0D"/>
    <w:rsid w:val="0046590E"/>
    <w:rsid w:val="004660DB"/>
    <w:rsid w:val="00466EC1"/>
    <w:rsid w:val="00470BE5"/>
    <w:rsid w:val="00472B8F"/>
    <w:rsid w:val="0047421D"/>
    <w:rsid w:val="004756B0"/>
    <w:rsid w:val="00476075"/>
    <w:rsid w:val="00480017"/>
    <w:rsid w:val="00480931"/>
    <w:rsid w:val="00481994"/>
    <w:rsid w:val="00482555"/>
    <w:rsid w:val="00485208"/>
    <w:rsid w:val="00487548"/>
    <w:rsid w:val="00490C71"/>
    <w:rsid w:val="00492A9B"/>
    <w:rsid w:val="004A02A3"/>
    <w:rsid w:val="004A15C0"/>
    <w:rsid w:val="004A3F46"/>
    <w:rsid w:val="004A4C77"/>
    <w:rsid w:val="004B37AE"/>
    <w:rsid w:val="004B75FD"/>
    <w:rsid w:val="004B7A0D"/>
    <w:rsid w:val="004C27E7"/>
    <w:rsid w:val="004D4F50"/>
    <w:rsid w:val="004D723B"/>
    <w:rsid w:val="004E0A86"/>
    <w:rsid w:val="004E38F7"/>
    <w:rsid w:val="004E61C9"/>
    <w:rsid w:val="004E69F6"/>
    <w:rsid w:val="004F18FD"/>
    <w:rsid w:val="004F2B6A"/>
    <w:rsid w:val="004F7CAF"/>
    <w:rsid w:val="00502A0C"/>
    <w:rsid w:val="005031D1"/>
    <w:rsid w:val="0050324B"/>
    <w:rsid w:val="00510EF5"/>
    <w:rsid w:val="0051297D"/>
    <w:rsid w:val="00515162"/>
    <w:rsid w:val="00521100"/>
    <w:rsid w:val="00523613"/>
    <w:rsid w:val="00542A4C"/>
    <w:rsid w:val="00542E98"/>
    <w:rsid w:val="00544154"/>
    <w:rsid w:val="00547BB7"/>
    <w:rsid w:val="00547D4E"/>
    <w:rsid w:val="00554FDD"/>
    <w:rsid w:val="0055536B"/>
    <w:rsid w:val="005556B1"/>
    <w:rsid w:val="00561EA9"/>
    <w:rsid w:val="00565A5D"/>
    <w:rsid w:val="005722D0"/>
    <w:rsid w:val="00572E02"/>
    <w:rsid w:val="0057434C"/>
    <w:rsid w:val="00577B6C"/>
    <w:rsid w:val="00583F1E"/>
    <w:rsid w:val="00584484"/>
    <w:rsid w:val="00586490"/>
    <w:rsid w:val="005926D4"/>
    <w:rsid w:val="00595193"/>
    <w:rsid w:val="0059598F"/>
    <w:rsid w:val="00597277"/>
    <w:rsid w:val="005A008D"/>
    <w:rsid w:val="005A0E68"/>
    <w:rsid w:val="005B775B"/>
    <w:rsid w:val="005C6723"/>
    <w:rsid w:val="005C6F36"/>
    <w:rsid w:val="005D2F4F"/>
    <w:rsid w:val="005D5955"/>
    <w:rsid w:val="005D64F7"/>
    <w:rsid w:val="005D7A4F"/>
    <w:rsid w:val="005E2FF8"/>
    <w:rsid w:val="005F7D1E"/>
    <w:rsid w:val="006148DD"/>
    <w:rsid w:val="00615416"/>
    <w:rsid w:val="00620071"/>
    <w:rsid w:val="006254E8"/>
    <w:rsid w:val="00630B9C"/>
    <w:rsid w:val="00632C88"/>
    <w:rsid w:val="006470B0"/>
    <w:rsid w:val="00647990"/>
    <w:rsid w:val="00647F17"/>
    <w:rsid w:val="0065460E"/>
    <w:rsid w:val="006577AC"/>
    <w:rsid w:val="00657CDE"/>
    <w:rsid w:val="006614C7"/>
    <w:rsid w:val="0066459E"/>
    <w:rsid w:val="00672AD6"/>
    <w:rsid w:val="00677C83"/>
    <w:rsid w:val="00682BFC"/>
    <w:rsid w:val="00682D77"/>
    <w:rsid w:val="00683CFC"/>
    <w:rsid w:val="00685368"/>
    <w:rsid w:val="00693516"/>
    <w:rsid w:val="0069440A"/>
    <w:rsid w:val="00695092"/>
    <w:rsid w:val="006961DC"/>
    <w:rsid w:val="006A19FD"/>
    <w:rsid w:val="006A396C"/>
    <w:rsid w:val="006A5C97"/>
    <w:rsid w:val="006A7D5A"/>
    <w:rsid w:val="006B0A6F"/>
    <w:rsid w:val="006B12B6"/>
    <w:rsid w:val="006C5BA0"/>
    <w:rsid w:val="006D6F36"/>
    <w:rsid w:val="006E4800"/>
    <w:rsid w:val="006E6BA9"/>
    <w:rsid w:val="006F1765"/>
    <w:rsid w:val="006F3616"/>
    <w:rsid w:val="006F42AD"/>
    <w:rsid w:val="00701FA8"/>
    <w:rsid w:val="00702B98"/>
    <w:rsid w:val="007037CC"/>
    <w:rsid w:val="0071619D"/>
    <w:rsid w:val="00717584"/>
    <w:rsid w:val="007220B9"/>
    <w:rsid w:val="00724BAF"/>
    <w:rsid w:val="007310F3"/>
    <w:rsid w:val="00731495"/>
    <w:rsid w:val="00736D3F"/>
    <w:rsid w:val="00745F3F"/>
    <w:rsid w:val="0075273E"/>
    <w:rsid w:val="00760923"/>
    <w:rsid w:val="007613CB"/>
    <w:rsid w:val="00765DAF"/>
    <w:rsid w:val="00771475"/>
    <w:rsid w:val="0077575E"/>
    <w:rsid w:val="007758F3"/>
    <w:rsid w:val="00780512"/>
    <w:rsid w:val="00783E0F"/>
    <w:rsid w:val="007954FB"/>
    <w:rsid w:val="007A0A41"/>
    <w:rsid w:val="007A2B25"/>
    <w:rsid w:val="007A2D95"/>
    <w:rsid w:val="007A3DDA"/>
    <w:rsid w:val="007A59C2"/>
    <w:rsid w:val="007A6337"/>
    <w:rsid w:val="007A6769"/>
    <w:rsid w:val="007B0230"/>
    <w:rsid w:val="007B097A"/>
    <w:rsid w:val="007B0F0D"/>
    <w:rsid w:val="007B4AA8"/>
    <w:rsid w:val="007B7576"/>
    <w:rsid w:val="007C0DF6"/>
    <w:rsid w:val="007D34A6"/>
    <w:rsid w:val="007D52D6"/>
    <w:rsid w:val="007D75C7"/>
    <w:rsid w:val="007E34B6"/>
    <w:rsid w:val="007F0DEE"/>
    <w:rsid w:val="007F4BE3"/>
    <w:rsid w:val="007F611E"/>
    <w:rsid w:val="0080163A"/>
    <w:rsid w:val="0080506F"/>
    <w:rsid w:val="00826D32"/>
    <w:rsid w:val="00827F9A"/>
    <w:rsid w:val="00832BE9"/>
    <w:rsid w:val="00833AE5"/>
    <w:rsid w:val="00840E29"/>
    <w:rsid w:val="00846136"/>
    <w:rsid w:val="008465C7"/>
    <w:rsid w:val="00851299"/>
    <w:rsid w:val="008525EE"/>
    <w:rsid w:val="00854418"/>
    <w:rsid w:val="00854CA1"/>
    <w:rsid w:val="0085622A"/>
    <w:rsid w:val="0085655B"/>
    <w:rsid w:val="00860019"/>
    <w:rsid w:val="00883A5D"/>
    <w:rsid w:val="00887E95"/>
    <w:rsid w:val="0089016F"/>
    <w:rsid w:val="0089514B"/>
    <w:rsid w:val="008959AF"/>
    <w:rsid w:val="00896555"/>
    <w:rsid w:val="008A1D76"/>
    <w:rsid w:val="008B0BFB"/>
    <w:rsid w:val="008B3614"/>
    <w:rsid w:val="008B6672"/>
    <w:rsid w:val="008C4438"/>
    <w:rsid w:val="008C6CBC"/>
    <w:rsid w:val="008C738F"/>
    <w:rsid w:val="008C7EC2"/>
    <w:rsid w:val="008D11E7"/>
    <w:rsid w:val="008D4043"/>
    <w:rsid w:val="008D4881"/>
    <w:rsid w:val="008D4E6A"/>
    <w:rsid w:val="008D682B"/>
    <w:rsid w:val="008E76AE"/>
    <w:rsid w:val="008F08AA"/>
    <w:rsid w:val="008F6BFA"/>
    <w:rsid w:val="00902E45"/>
    <w:rsid w:val="00904262"/>
    <w:rsid w:val="0090624D"/>
    <w:rsid w:val="00910070"/>
    <w:rsid w:val="00914720"/>
    <w:rsid w:val="00922715"/>
    <w:rsid w:val="00924227"/>
    <w:rsid w:val="0092609F"/>
    <w:rsid w:val="00926368"/>
    <w:rsid w:val="0094326A"/>
    <w:rsid w:val="009454F6"/>
    <w:rsid w:val="0095429F"/>
    <w:rsid w:val="009562CB"/>
    <w:rsid w:val="009618DC"/>
    <w:rsid w:val="0096262F"/>
    <w:rsid w:val="0096291B"/>
    <w:rsid w:val="00966C5F"/>
    <w:rsid w:val="009824DF"/>
    <w:rsid w:val="00986A74"/>
    <w:rsid w:val="00986C2C"/>
    <w:rsid w:val="00991D09"/>
    <w:rsid w:val="00992833"/>
    <w:rsid w:val="00993788"/>
    <w:rsid w:val="00997012"/>
    <w:rsid w:val="009A3D5E"/>
    <w:rsid w:val="009A4627"/>
    <w:rsid w:val="009B0FD8"/>
    <w:rsid w:val="009B23A3"/>
    <w:rsid w:val="009B2CAC"/>
    <w:rsid w:val="009B6221"/>
    <w:rsid w:val="009B68DB"/>
    <w:rsid w:val="009B6AA8"/>
    <w:rsid w:val="009C01C6"/>
    <w:rsid w:val="009C12E6"/>
    <w:rsid w:val="009C22E4"/>
    <w:rsid w:val="009C2A2B"/>
    <w:rsid w:val="009C7BCC"/>
    <w:rsid w:val="009D3803"/>
    <w:rsid w:val="009D6F06"/>
    <w:rsid w:val="009E02C2"/>
    <w:rsid w:val="009E3437"/>
    <w:rsid w:val="009E709D"/>
    <w:rsid w:val="009F0CFB"/>
    <w:rsid w:val="009F4D80"/>
    <w:rsid w:val="00A01584"/>
    <w:rsid w:val="00A01910"/>
    <w:rsid w:val="00A037F6"/>
    <w:rsid w:val="00A0563A"/>
    <w:rsid w:val="00A1582A"/>
    <w:rsid w:val="00A200AA"/>
    <w:rsid w:val="00A21F48"/>
    <w:rsid w:val="00A2769E"/>
    <w:rsid w:val="00A36A3C"/>
    <w:rsid w:val="00A404EA"/>
    <w:rsid w:val="00A42162"/>
    <w:rsid w:val="00A55CD7"/>
    <w:rsid w:val="00A60F80"/>
    <w:rsid w:val="00A63C87"/>
    <w:rsid w:val="00A64FE8"/>
    <w:rsid w:val="00A65FE3"/>
    <w:rsid w:val="00A70D60"/>
    <w:rsid w:val="00A737CF"/>
    <w:rsid w:val="00A7530A"/>
    <w:rsid w:val="00A81747"/>
    <w:rsid w:val="00A821B4"/>
    <w:rsid w:val="00A91C5A"/>
    <w:rsid w:val="00A92871"/>
    <w:rsid w:val="00A9306E"/>
    <w:rsid w:val="00A93EA0"/>
    <w:rsid w:val="00A95E1A"/>
    <w:rsid w:val="00AA09C6"/>
    <w:rsid w:val="00AA2A1D"/>
    <w:rsid w:val="00AA2C62"/>
    <w:rsid w:val="00AA3274"/>
    <w:rsid w:val="00AA3368"/>
    <w:rsid w:val="00AA5FE9"/>
    <w:rsid w:val="00AB0A0D"/>
    <w:rsid w:val="00AB31F8"/>
    <w:rsid w:val="00AB4392"/>
    <w:rsid w:val="00AB4DAB"/>
    <w:rsid w:val="00AB4F04"/>
    <w:rsid w:val="00AB655A"/>
    <w:rsid w:val="00AC091B"/>
    <w:rsid w:val="00AC2C5D"/>
    <w:rsid w:val="00AC4E1A"/>
    <w:rsid w:val="00AC7097"/>
    <w:rsid w:val="00AD5ECC"/>
    <w:rsid w:val="00AD6CCC"/>
    <w:rsid w:val="00AD73E7"/>
    <w:rsid w:val="00AF1956"/>
    <w:rsid w:val="00AF29A5"/>
    <w:rsid w:val="00AF540F"/>
    <w:rsid w:val="00AF6586"/>
    <w:rsid w:val="00B00944"/>
    <w:rsid w:val="00B048BE"/>
    <w:rsid w:val="00B054DF"/>
    <w:rsid w:val="00B16FBE"/>
    <w:rsid w:val="00B17F4D"/>
    <w:rsid w:val="00B21B19"/>
    <w:rsid w:val="00B2487F"/>
    <w:rsid w:val="00B26D33"/>
    <w:rsid w:val="00B30EDD"/>
    <w:rsid w:val="00B36AE6"/>
    <w:rsid w:val="00B37720"/>
    <w:rsid w:val="00B37AEB"/>
    <w:rsid w:val="00B472F3"/>
    <w:rsid w:val="00B52E7C"/>
    <w:rsid w:val="00B533F9"/>
    <w:rsid w:val="00B53F1E"/>
    <w:rsid w:val="00B56C15"/>
    <w:rsid w:val="00B645D6"/>
    <w:rsid w:val="00B64DDA"/>
    <w:rsid w:val="00B654FA"/>
    <w:rsid w:val="00B7242B"/>
    <w:rsid w:val="00B806A4"/>
    <w:rsid w:val="00B856D7"/>
    <w:rsid w:val="00B93CD9"/>
    <w:rsid w:val="00B9434E"/>
    <w:rsid w:val="00B95C4D"/>
    <w:rsid w:val="00B9738A"/>
    <w:rsid w:val="00BA2004"/>
    <w:rsid w:val="00BB35A3"/>
    <w:rsid w:val="00BC02A4"/>
    <w:rsid w:val="00BC74D6"/>
    <w:rsid w:val="00BC7548"/>
    <w:rsid w:val="00BD38C8"/>
    <w:rsid w:val="00BD65D8"/>
    <w:rsid w:val="00BD6C43"/>
    <w:rsid w:val="00BE0A5E"/>
    <w:rsid w:val="00BE1372"/>
    <w:rsid w:val="00BE36E9"/>
    <w:rsid w:val="00BF0209"/>
    <w:rsid w:val="00BF07B4"/>
    <w:rsid w:val="00BF6B62"/>
    <w:rsid w:val="00C001C8"/>
    <w:rsid w:val="00C02E61"/>
    <w:rsid w:val="00C07E51"/>
    <w:rsid w:val="00C153A7"/>
    <w:rsid w:val="00C1681C"/>
    <w:rsid w:val="00C2097F"/>
    <w:rsid w:val="00C2160F"/>
    <w:rsid w:val="00C21B2B"/>
    <w:rsid w:val="00C2326F"/>
    <w:rsid w:val="00C23700"/>
    <w:rsid w:val="00C25C18"/>
    <w:rsid w:val="00C34861"/>
    <w:rsid w:val="00C44A6E"/>
    <w:rsid w:val="00C468EE"/>
    <w:rsid w:val="00C502BC"/>
    <w:rsid w:val="00C54447"/>
    <w:rsid w:val="00C55B2E"/>
    <w:rsid w:val="00C6419A"/>
    <w:rsid w:val="00C736D2"/>
    <w:rsid w:val="00C770EA"/>
    <w:rsid w:val="00C845EC"/>
    <w:rsid w:val="00C9056F"/>
    <w:rsid w:val="00C92B8E"/>
    <w:rsid w:val="00C93476"/>
    <w:rsid w:val="00CA3758"/>
    <w:rsid w:val="00CA4D56"/>
    <w:rsid w:val="00CA59EC"/>
    <w:rsid w:val="00CB3695"/>
    <w:rsid w:val="00CC0BA9"/>
    <w:rsid w:val="00CC1DAB"/>
    <w:rsid w:val="00CC3390"/>
    <w:rsid w:val="00CC3A1D"/>
    <w:rsid w:val="00CC789D"/>
    <w:rsid w:val="00CD19A7"/>
    <w:rsid w:val="00CD40FA"/>
    <w:rsid w:val="00CD6876"/>
    <w:rsid w:val="00CE0B37"/>
    <w:rsid w:val="00CE78BA"/>
    <w:rsid w:val="00CE7E57"/>
    <w:rsid w:val="00CF5C14"/>
    <w:rsid w:val="00CF7052"/>
    <w:rsid w:val="00D0294C"/>
    <w:rsid w:val="00D04822"/>
    <w:rsid w:val="00D079EC"/>
    <w:rsid w:val="00D1392E"/>
    <w:rsid w:val="00D13AEA"/>
    <w:rsid w:val="00D13DCB"/>
    <w:rsid w:val="00D15346"/>
    <w:rsid w:val="00D2048C"/>
    <w:rsid w:val="00D21FE8"/>
    <w:rsid w:val="00D24B30"/>
    <w:rsid w:val="00D2570C"/>
    <w:rsid w:val="00D2704B"/>
    <w:rsid w:val="00D301C1"/>
    <w:rsid w:val="00D358B8"/>
    <w:rsid w:val="00D406D9"/>
    <w:rsid w:val="00D41048"/>
    <w:rsid w:val="00D42F9A"/>
    <w:rsid w:val="00D518FA"/>
    <w:rsid w:val="00D6029C"/>
    <w:rsid w:val="00D660A9"/>
    <w:rsid w:val="00D732CA"/>
    <w:rsid w:val="00D73B7B"/>
    <w:rsid w:val="00D7581C"/>
    <w:rsid w:val="00D848B1"/>
    <w:rsid w:val="00D84FC0"/>
    <w:rsid w:val="00D8666B"/>
    <w:rsid w:val="00D86E46"/>
    <w:rsid w:val="00D90C63"/>
    <w:rsid w:val="00D91422"/>
    <w:rsid w:val="00D96AEB"/>
    <w:rsid w:val="00DB1536"/>
    <w:rsid w:val="00DB352F"/>
    <w:rsid w:val="00DB3A23"/>
    <w:rsid w:val="00DB513F"/>
    <w:rsid w:val="00DC077E"/>
    <w:rsid w:val="00DC0A8B"/>
    <w:rsid w:val="00DC6706"/>
    <w:rsid w:val="00DD125F"/>
    <w:rsid w:val="00DD20E2"/>
    <w:rsid w:val="00DD33CE"/>
    <w:rsid w:val="00DD5467"/>
    <w:rsid w:val="00DE1ED6"/>
    <w:rsid w:val="00DE752A"/>
    <w:rsid w:val="00DF1955"/>
    <w:rsid w:val="00DF413D"/>
    <w:rsid w:val="00DF49F6"/>
    <w:rsid w:val="00DF51C0"/>
    <w:rsid w:val="00DF5899"/>
    <w:rsid w:val="00DF6F13"/>
    <w:rsid w:val="00E00B5B"/>
    <w:rsid w:val="00E02707"/>
    <w:rsid w:val="00E13336"/>
    <w:rsid w:val="00E165A3"/>
    <w:rsid w:val="00E26965"/>
    <w:rsid w:val="00E27261"/>
    <w:rsid w:val="00E33889"/>
    <w:rsid w:val="00E33944"/>
    <w:rsid w:val="00E362C7"/>
    <w:rsid w:val="00E45616"/>
    <w:rsid w:val="00E502CC"/>
    <w:rsid w:val="00E50B64"/>
    <w:rsid w:val="00E52931"/>
    <w:rsid w:val="00E54A24"/>
    <w:rsid w:val="00E579E8"/>
    <w:rsid w:val="00E60D7E"/>
    <w:rsid w:val="00E61D33"/>
    <w:rsid w:val="00E6792F"/>
    <w:rsid w:val="00E76FF9"/>
    <w:rsid w:val="00E80464"/>
    <w:rsid w:val="00E80F1E"/>
    <w:rsid w:val="00E82469"/>
    <w:rsid w:val="00E846D6"/>
    <w:rsid w:val="00E84A33"/>
    <w:rsid w:val="00E84DE2"/>
    <w:rsid w:val="00E86A01"/>
    <w:rsid w:val="00E9236A"/>
    <w:rsid w:val="00E97D7B"/>
    <w:rsid w:val="00E97F06"/>
    <w:rsid w:val="00EA15B3"/>
    <w:rsid w:val="00EA17DC"/>
    <w:rsid w:val="00EA3876"/>
    <w:rsid w:val="00EA4A2B"/>
    <w:rsid w:val="00EB1707"/>
    <w:rsid w:val="00EB2681"/>
    <w:rsid w:val="00EB5D30"/>
    <w:rsid w:val="00EB5FC4"/>
    <w:rsid w:val="00EB6C1B"/>
    <w:rsid w:val="00EB7EE2"/>
    <w:rsid w:val="00EC01D4"/>
    <w:rsid w:val="00EC176A"/>
    <w:rsid w:val="00EC3AE4"/>
    <w:rsid w:val="00EE0132"/>
    <w:rsid w:val="00EE1A1E"/>
    <w:rsid w:val="00EE3B6A"/>
    <w:rsid w:val="00EE47A7"/>
    <w:rsid w:val="00EE5E7C"/>
    <w:rsid w:val="00EE6688"/>
    <w:rsid w:val="00EF02BE"/>
    <w:rsid w:val="00EF3EC9"/>
    <w:rsid w:val="00F00244"/>
    <w:rsid w:val="00F03C4A"/>
    <w:rsid w:val="00F105D7"/>
    <w:rsid w:val="00F1470E"/>
    <w:rsid w:val="00F15D1E"/>
    <w:rsid w:val="00F17B1F"/>
    <w:rsid w:val="00F20FD5"/>
    <w:rsid w:val="00F238B5"/>
    <w:rsid w:val="00F23BF8"/>
    <w:rsid w:val="00F2483B"/>
    <w:rsid w:val="00F24857"/>
    <w:rsid w:val="00F27117"/>
    <w:rsid w:val="00F27FB0"/>
    <w:rsid w:val="00F3026B"/>
    <w:rsid w:val="00F31F80"/>
    <w:rsid w:val="00F325B0"/>
    <w:rsid w:val="00F47091"/>
    <w:rsid w:val="00F47BDF"/>
    <w:rsid w:val="00F54947"/>
    <w:rsid w:val="00F561BA"/>
    <w:rsid w:val="00F57675"/>
    <w:rsid w:val="00F634C5"/>
    <w:rsid w:val="00F67140"/>
    <w:rsid w:val="00F7453F"/>
    <w:rsid w:val="00F775C8"/>
    <w:rsid w:val="00F77ABB"/>
    <w:rsid w:val="00F82996"/>
    <w:rsid w:val="00F86E2C"/>
    <w:rsid w:val="00F875F0"/>
    <w:rsid w:val="00F96A7C"/>
    <w:rsid w:val="00FA7837"/>
    <w:rsid w:val="00FB1612"/>
    <w:rsid w:val="00FB26E1"/>
    <w:rsid w:val="00FB2C9E"/>
    <w:rsid w:val="00FB401A"/>
    <w:rsid w:val="00FB5E72"/>
    <w:rsid w:val="00FB6536"/>
    <w:rsid w:val="00FB68A2"/>
    <w:rsid w:val="00FC4E98"/>
    <w:rsid w:val="00FC5B9F"/>
    <w:rsid w:val="00FC7577"/>
    <w:rsid w:val="00FD3835"/>
    <w:rsid w:val="00FE4A54"/>
    <w:rsid w:val="00FE5E24"/>
    <w:rsid w:val="00FE6E71"/>
    <w:rsid w:val="00FF2AD1"/>
    <w:rsid w:val="00FF47AC"/>
    <w:rsid w:val="00FF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12AEC"/>
  <w15:docId w15:val="{F0A7C603-A7FD-4E68-B662-EBA37891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8F7"/>
    <w:rPr>
      <w:rFonts w:ascii="Calibri" w:eastAsia="Calibri" w:hAnsi="Calibri" w:cs="Times New Roman"/>
    </w:rPr>
  </w:style>
  <w:style w:type="paragraph" w:styleId="Heading3">
    <w:name w:val="heading 3"/>
    <w:basedOn w:val="Normal"/>
    <w:link w:val="Heading3Char"/>
    <w:uiPriority w:val="9"/>
    <w:qFormat/>
    <w:rsid w:val="00223EA2"/>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40A"/>
    <w:pPr>
      <w:ind w:left="720"/>
      <w:contextualSpacing/>
    </w:pPr>
  </w:style>
  <w:style w:type="table" w:styleId="TableGrid">
    <w:name w:val="Table Grid"/>
    <w:basedOn w:val="TableNormal"/>
    <w:uiPriority w:val="59"/>
    <w:rsid w:val="00694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9440A"/>
    <w:pPr>
      <w:spacing w:after="0" w:line="240" w:lineRule="auto"/>
      <w:ind w:right="432"/>
      <w:jc w:val="center"/>
    </w:pPr>
    <w:rPr>
      <w:rFonts w:ascii="Arial" w:eastAsia="Times New Roman" w:hAnsi="Arial"/>
      <w:b/>
      <w:sz w:val="18"/>
      <w:szCs w:val="20"/>
    </w:rPr>
  </w:style>
  <w:style w:type="character" w:customStyle="1" w:styleId="TitleChar">
    <w:name w:val="Title Char"/>
    <w:basedOn w:val="DefaultParagraphFont"/>
    <w:link w:val="Title"/>
    <w:rsid w:val="0069440A"/>
    <w:rPr>
      <w:rFonts w:ascii="Arial" w:eastAsia="Times New Roman" w:hAnsi="Arial" w:cs="Times New Roman"/>
      <w:b/>
      <w:sz w:val="18"/>
      <w:szCs w:val="20"/>
    </w:rPr>
  </w:style>
  <w:style w:type="paragraph" w:styleId="NormalWeb">
    <w:name w:val="Normal (Web)"/>
    <w:basedOn w:val="Normal"/>
    <w:uiPriority w:val="99"/>
    <w:unhideWhenUsed/>
    <w:rsid w:val="0000616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B00944"/>
    <w:rPr>
      <w:color w:val="0000FF" w:themeColor="hyperlink"/>
      <w:u w:val="single"/>
    </w:rPr>
  </w:style>
  <w:style w:type="paragraph" w:styleId="Header">
    <w:name w:val="header"/>
    <w:basedOn w:val="Normal"/>
    <w:link w:val="HeaderChar"/>
    <w:uiPriority w:val="99"/>
    <w:unhideWhenUsed/>
    <w:rsid w:val="00295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53F"/>
    <w:rPr>
      <w:rFonts w:ascii="Calibri" w:eastAsia="Calibri" w:hAnsi="Calibri" w:cs="Times New Roman"/>
    </w:rPr>
  </w:style>
  <w:style w:type="paragraph" w:styleId="Footer">
    <w:name w:val="footer"/>
    <w:basedOn w:val="Normal"/>
    <w:link w:val="FooterChar"/>
    <w:uiPriority w:val="99"/>
    <w:unhideWhenUsed/>
    <w:rsid w:val="00295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53F"/>
    <w:rPr>
      <w:rFonts w:ascii="Calibri" w:eastAsia="Calibri" w:hAnsi="Calibri" w:cs="Times New Roman"/>
    </w:rPr>
  </w:style>
  <w:style w:type="paragraph" w:styleId="BalloonText">
    <w:name w:val="Balloon Text"/>
    <w:basedOn w:val="Normal"/>
    <w:link w:val="BalloonTextChar"/>
    <w:uiPriority w:val="99"/>
    <w:semiHidden/>
    <w:unhideWhenUsed/>
    <w:rsid w:val="00295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53F"/>
    <w:rPr>
      <w:rFonts w:ascii="Tahoma" w:eastAsia="Calibri" w:hAnsi="Tahoma" w:cs="Tahoma"/>
      <w:sz w:val="16"/>
      <w:szCs w:val="16"/>
    </w:rPr>
  </w:style>
  <w:style w:type="character" w:customStyle="1" w:styleId="Heading3Char">
    <w:name w:val="Heading 3 Char"/>
    <w:basedOn w:val="DefaultParagraphFont"/>
    <w:link w:val="Heading3"/>
    <w:uiPriority w:val="9"/>
    <w:rsid w:val="00223EA2"/>
    <w:rPr>
      <w:rFonts w:ascii="Times New Roman" w:eastAsia="Times New Roman" w:hAnsi="Times New Roman" w:cs="Times New Roman"/>
      <w:b/>
      <w:bCs/>
      <w:sz w:val="27"/>
      <w:szCs w:val="27"/>
    </w:rPr>
  </w:style>
  <w:style w:type="character" w:styleId="Strong">
    <w:name w:val="Strong"/>
    <w:basedOn w:val="DefaultParagraphFont"/>
    <w:uiPriority w:val="22"/>
    <w:qFormat/>
    <w:rsid w:val="00242DD0"/>
    <w:rPr>
      <w:b/>
      <w:bCs/>
    </w:rPr>
  </w:style>
  <w:style w:type="character" w:styleId="UnresolvedMention">
    <w:name w:val="Unresolved Mention"/>
    <w:basedOn w:val="DefaultParagraphFont"/>
    <w:uiPriority w:val="99"/>
    <w:semiHidden/>
    <w:unhideWhenUsed/>
    <w:rsid w:val="009C12E6"/>
    <w:rPr>
      <w:color w:val="605E5C"/>
      <w:shd w:val="clear" w:color="auto" w:fill="E1DFDD"/>
    </w:rPr>
  </w:style>
  <w:style w:type="paragraph" w:styleId="NoSpacing">
    <w:name w:val="No Spacing"/>
    <w:uiPriority w:val="1"/>
    <w:qFormat/>
    <w:rsid w:val="00832BE9"/>
    <w:pPr>
      <w:spacing w:after="0" w:line="240" w:lineRule="auto"/>
    </w:pPr>
    <w:rPr>
      <w:rFonts w:ascii="Calibri" w:eastAsia="Calibri" w:hAnsi="Calibri" w:cs="Times New Roman"/>
    </w:rPr>
  </w:style>
  <w:style w:type="character" w:styleId="Emphasis">
    <w:name w:val="Emphasis"/>
    <w:basedOn w:val="DefaultParagraphFont"/>
    <w:uiPriority w:val="20"/>
    <w:qFormat/>
    <w:rsid w:val="00AB4D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3480">
      <w:bodyDiv w:val="1"/>
      <w:marLeft w:val="0"/>
      <w:marRight w:val="0"/>
      <w:marTop w:val="0"/>
      <w:marBottom w:val="0"/>
      <w:divBdr>
        <w:top w:val="none" w:sz="0" w:space="0" w:color="auto"/>
        <w:left w:val="none" w:sz="0" w:space="0" w:color="auto"/>
        <w:bottom w:val="none" w:sz="0" w:space="0" w:color="auto"/>
        <w:right w:val="none" w:sz="0" w:space="0" w:color="auto"/>
      </w:divBdr>
      <w:divsChild>
        <w:div w:id="1410997790">
          <w:marLeft w:val="432"/>
          <w:marRight w:val="0"/>
          <w:marTop w:val="80"/>
          <w:marBottom w:val="80"/>
          <w:divBdr>
            <w:top w:val="none" w:sz="0" w:space="0" w:color="auto"/>
            <w:left w:val="none" w:sz="0" w:space="0" w:color="auto"/>
            <w:bottom w:val="none" w:sz="0" w:space="0" w:color="auto"/>
            <w:right w:val="none" w:sz="0" w:space="0" w:color="auto"/>
          </w:divBdr>
        </w:div>
      </w:divsChild>
    </w:div>
    <w:div w:id="148592818">
      <w:bodyDiv w:val="1"/>
      <w:marLeft w:val="0"/>
      <w:marRight w:val="0"/>
      <w:marTop w:val="0"/>
      <w:marBottom w:val="0"/>
      <w:divBdr>
        <w:top w:val="none" w:sz="0" w:space="0" w:color="auto"/>
        <w:left w:val="none" w:sz="0" w:space="0" w:color="auto"/>
        <w:bottom w:val="none" w:sz="0" w:space="0" w:color="auto"/>
        <w:right w:val="none" w:sz="0" w:space="0" w:color="auto"/>
      </w:divBdr>
    </w:div>
    <w:div w:id="400173921">
      <w:bodyDiv w:val="1"/>
      <w:marLeft w:val="0"/>
      <w:marRight w:val="0"/>
      <w:marTop w:val="0"/>
      <w:marBottom w:val="0"/>
      <w:divBdr>
        <w:top w:val="none" w:sz="0" w:space="0" w:color="auto"/>
        <w:left w:val="none" w:sz="0" w:space="0" w:color="auto"/>
        <w:bottom w:val="none" w:sz="0" w:space="0" w:color="auto"/>
        <w:right w:val="none" w:sz="0" w:space="0" w:color="auto"/>
      </w:divBdr>
    </w:div>
    <w:div w:id="680470055">
      <w:bodyDiv w:val="1"/>
      <w:marLeft w:val="0"/>
      <w:marRight w:val="0"/>
      <w:marTop w:val="0"/>
      <w:marBottom w:val="0"/>
      <w:divBdr>
        <w:top w:val="none" w:sz="0" w:space="0" w:color="auto"/>
        <w:left w:val="none" w:sz="0" w:space="0" w:color="auto"/>
        <w:bottom w:val="none" w:sz="0" w:space="0" w:color="auto"/>
        <w:right w:val="none" w:sz="0" w:space="0" w:color="auto"/>
      </w:divBdr>
    </w:div>
    <w:div w:id="802776681">
      <w:bodyDiv w:val="1"/>
      <w:marLeft w:val="0"/>
      <w:marRight w:val="0"/>
      <w:marTop w:val="0"/>
      <w:marBottom w:val="0"/>
      <w:divBdr>
        <w:top w:val="none" w:sz="0" w:space="0" w:color="auto"/>
        <w:left w:val="none" w:sz="0" w:space="0" w:color="auto"/>
        <w:bottom w:val="none" w:sz="0" w:space="0" w:color="auto"/>
        <w:right w:val="none" w:sz="0" w:space="0" w:color="auto"/>
      </w:divBdr>
    </w:div>
    <w:div w:id="884947204">
      <w:bodyDiv w:val="1"/>
      <w:marLeft w:val="0"/>
      <w:marRight w:val="0"/>
      <w:marTop w:val="0"/>
      <w:marBottom w:val="0"/>
      <w:divBdr>
        <w:top w:val="none" w:sz="0" w:space="0" w:color="auto"/>
        <w:left w:val="none" w:sz="0" w:space="0" w:color="auto"/>
        <w:bottom w:val="none" w:sz="0" w:space="0" w:color="auto"/>
        <w:right w:val="none" w:sz="0" w:space="0" w:color="auto"/>
      </w:divBdr>
    </w:div>
    <w:div w:id="952516687">
      <w:bodyDiv w:val="1"/>
      <w:marLeft w:val="0"/>
      <w:marRight w:val="0"/>
      <w:marTop w:val="0"/>
      <w:marBottom w:val="0"/>
      <w:divBdr>
        <w:top w:val="none" w:sz="0" w:space="0" w:color="auto"/>
        <w:left w:val="none" w:sz="0" w:space="0" w:color="auto"/>
        <w:bottom w:val="none" w:sz="0" w:space="0" w:color="auto"/>
        <w:right w:val="none" w:sz="0" w:space="0" w:color="auto"/>
      </w:divBdr>
    </w:div>
    <w:div w:id="967710322">
      <w:bodyDiv w:val="1"/>
      <w:marLeft w:val="0"/>
      <w:marRight w:val="0"/>
      <w:marTop w:val="0"/>
      <w:marBottom w:val="0"/>
      <w:divBdr>
        <w:top w:val="none" w:sz="0" w:space="0" w:color="auto"/>
        <w:left w:val="none" w:sz="0" w:space="0" w:color="auto"/>
        <w:bottom w:val="none" w:sz="0" w:space="0" w:color="auto"/>
        <w:right w:val="none" w:sz="0" w:space="0" w:color="auto"/>
      </w:divBdr>
      <w:divsChild>
        <w:div w:id="1900048403">
          <w:marLeft w:val="432"/>
          <w:marRight w:val="0"/>
          <w:marTop w:val="80"/>
          <w:marBottom w:val="80"/>
          <w:divBdr>
            <w:top w:val="none" w:sz="0" w:space="0" w:color="auto"/>
            <w:left w:val="none" w:sz="0" w:space="0" w:color="auto"/>
            <w:bottom w:val="none" w:sz="0" w:space="0" w:color="auto"/>
            <w:right w:val="none" w:sz="0" w:space="0" w:color="auto"/>
          </w:divBdr>
        </w:div>
        <w:div w:id="1876430756">
          <w:marLeft w:val="432"/>
          <w:marRight w:val="0"/>
          <w:marTop w:val="80"/>
          <w:marBottom w:val="80"/>
          <w:divBdr>
            <w:top w:val="none" w:sz="0" w:space="0" w:color="auto"/>
            <w:left w:val="none" w:sz="0" w:space="0" w:color="auto"/>
            <w:bottom w:val="none" w:sz="0" w:space="0" w:color="auto"/>
            <w:right w:val="none" w:sz="0" w:space="0" w:color="auto"/>
          </w:divBdr>
        </w:div>
        <w:div w:id="276716832">
          <w:marLeft w:val="432"/>
          <w:marRight w:val="0"/>
          <w:marTop w:val="80"/>
          <w:marBottom w:val="80"/>
          <w:divBdr>
            <w:top w:val="none" w:sz="0" w:space="0" w:color="auto"/>
            <w:left w:val="none" w:sz="0" w:space="0" w:color="auto"/>
            <w:bottom w:val="none" w:sz="0" w:space="0" w:color="auto"/>
            <w:right w:val="none" w:sz="0" w:space="0" w:color="auto"/>
          </w:divBdr>
        </w:div>
      </w:divsChild>
    </w:div>
    <w:div w:id="1014574642">
      <w:bodyDiv w:val="1"/>
      <w:marLeft w:val="0"/>
      <w:marRight w:val="0"/>
      <w:marTop w:val="0"/>
      <w:marBottom w:val="0"/>
      <w:divBdr>
        <w:top w:val="none" w:sz="0" w:space="0" w:color="auto"/>
        <w:left w:val="none" w:sz="0" w:space="0" w:color="auto"/>
        <w:bottom w:val="none" w:sz="0" w:space="0" w:color="auto"/>
        <w:right w:val="none" w:sz="0" w:space="0" w:color="auto"/>
      </w:divBdr>
      <w:divsChild>
        <w:div w:id="2104452075">
          <w:marLeft w:val="432"/>
          <w:marRight w:val="0"/>
          <w:marTop w:val="80"/>
          <w:marBottom w:val="80"/>
          <w:divBdr>
            <w:top w:val="none" w:sz="0" w:space="0" w:color="auto"/>
            <w:left w:val="none" w:sz="0" w:space="0" w:color="auto"/>
            <w:bottom w:val="none" w:sz="0" w:space="0" w:color="auto"/>
            <w:right w:val="none" w:sz="0" w:space="0" w:color="auto"/>
          </w:divBdr>
        </w:div>
        <w:div w:id="1194924696">
          <w:marLeft w:val="432"/>
          <w:marRight w:val="0"/>
          <w:marTop w:val="80"/>
          <w:marBottom w:val="80"/>
          <w:divBdr>
            <w:top w:val="none" w:sz="0" w:space="0" w:color="auto"/>
            <w:left w:val="none" w:sz="0" w:space="0" w:color="auto"/>
            <w:bottom w:val="none" w:sz="0" w:space="0" w:color="auto"/>
            <w:right w:val="none" w:sz="0" w:space="0" w:color="auto"/>
          </w:divBdr>
        </w:div>
        <w:div w:id="33510230">
          <w:marLeft w:val="432"/>
          <w:marRight w:val="0"/>
          <w:marTop w:val="80"/>
          <w:marBottom w:val="80"/>
          <w:divBdr>
            <w:top w:val="none" w:sz="0" w:space="0" w:color="auto"/>
            <w:left w:val="none" w:sz="0" w:space="0" w:color="auto"/>
            <w:bottom w:val="none" w:sz="0" w:space="0" w:color="auto"/>
            <w:right w:val="none" w:sz="0" w:space="0" w:color="auto"/>
          </w:divBdr>
        </w:div>
      </w:divsChild>
    </w:div>
    <w:div w:id="1254389901">
      <w:bodyDiv w:val="1"/>
      <w:marLeft w:val="0"/>
      <w:marRight w:val="0"/>
      <w:marTop w:val="0"/>
      <w:marBottom w:val="0"/>
      <w:divBdr>
        <w:top w:val="none" w:sz="0" w:space="0" w:color="auto"/>
        <w:left w:val="none" w:sz="0" w:space="0" w:color="auto"/>
        <w:bottom w:val="none" w:sz="0" w:space="0" w:color="auto"/>
        <w:right w:val="none" w:sz="0" w:space="0" w:color="auto"/>
      </w:divBdr>
    </w:div>
    <w:div w:id="1370766372">
      <w:bodyDiv w:val="1"/>
      <w:marLeft w:val="0"/>
      <w:marRight w:val="0"/>
      <w:marTop w:val="0"/>
      <w:marBottom w:val="0"/>
      <w:divBdr>
        <w:top w:val="none" w:sz="0" w:space="0" w:color="auto"/>
        <w:left w:val="none" w:sz="0" w:space="0" w:color="auto"/>
        <w:bottom w:val="none" w:sz="0" w:space="0" w:color="auto"/>
        <w:right w:val="none" w:sz="0" w:space="0" w:color="auto"/>
      </w:divBdr>
    </w:div>
    <w:div w:id="1411078532">
      <w:bodyDiv w:val="1"/>
      <w:marLeft w:val="0"/>
      <w:marRight w:val="0"/>
      <w:marTop w:val="0"/>
      <w:marBottom w:val="0"/>
      <w:divBdr>
        <w:top w:val="none" w:sz="0" w:space="0" w:color="auto"/>
        <w:left w:val="none" w:sz="0" w:space="0" w:color="auto"/>
        <w:bottom w:val="none" w:sz="0" w:space="0" w:color="auto"/>
        <w:right w:val="none" w:sz="0" w:space="0" w:color="auto"/>
      </w:divBdr>
      <w:divsChild>
        <w:div w:id="1000931443">
          <w:marLeft w:val="288"/>
          <w:marRight w:val="0"/>
          <w:marTop w:val="80"/>
          <w:marBottom w:val="40"/>
          <w:divBdr>
            <w:top w:val="none" w:sz="0" w:space="0" w:color="auto"/>
            <w:left w:val="none" w:sz="0" w:space="0" w:color="auto"/>
            <w:bottom w:val="none" w:sz="0" w:space="0" w:color="auto"/>
            <w:right w:val="none" w:sz="0" w:space="0" w:color="auto"/>
          </w:divBdr>
        </w:div>
      </w:divsChild>
    </w:div>
    <w:div w:id="1450779479">
      <w:bodyDiv w:val="1"/>
      <w:marLeft w:val="0"/>
      <w:marRight w:val="0"/>
      <w:marTop w:val="0"/>
      <w:marBottom w:val="0"/>
      <w:divBdr>
        <w:top w:val="none" w:sz="0" w:space="0" w:color="auto"/>
        <w:left w:val="none" w:sz="0" w:space="0" w:color="auto"/>
        <w:bottom w:val="none" w:sz="0" w:space="0" w:color="auto"/>
        <w:right w:val="none" w:sz="0" w:space="0" w:color="auto"/>
      </w:divBdr>
      <w:divsChild>
        <w:div w:id="1372530146">
          <w:marLeft w:val="288"/>
          <w:marRight w:val="0"/>
          <w:marTop w:val="80"/>
          <w:marBottom w:val="40"/>
          <w:divBdr>
            <w:top w:val="none" w:sz="0" w:space="0" w:color="auto"/>
            <w:left w:val="none" w:sz="0" w:space="0" w:color="auto"/>
            <w:bottom w:val="none" w:sz="0" w:space="0" w:color="auto"/>
            <w:right w:val="none" w:sz="0" w:space="0" w:color="auto"/>
          </w:divBdr>
        </w:div>
        <w:div w:id="87580427">
          <w:marLeft w:val="288"/>
          <w:marRight w:val="0"/>
          <w:marTop w:val="80"/>
          <w:marBottom w:val="40"/>
          <w:divBdr>
            <w:top w:val="none" w:sz="0" w:space="0" w:color="auto"/>
            <w:left w:val="none" w:sz="0" w:space="0" w:color="auto"/>
            <w:bottom w:val="none" w:sz="0" w:space="0" w:color="auto"/>
            <w:right w:val="none" w:sz="0" w:space="0" w:color="auto"/>
          </w:divBdr>
        </w:div>
      </w:divsChild>
    </w:div>
    <w:div w:id="1462570913">
      <w:bodyDiv w:val="1"/>
      <w:marLeft w:val="0"/>
      <w:marRight w:val="0"/>
      <w:marTop w:val="0"/>
      <w:marBottom w:val="0"/>
      <w:divBdr>
        <w:top w:val="none" w:sz="0" w:space="0" w:color="auto"/>
        <w:left w:val="none" w:sz="0" w:space="0" w:color="auto"/>
        <w:bottom w:val="none" w:sz="0" w:space="0" w:color="auto"/>
        <w:right w:val="none" w:sz="0" w:space="0" w:color="auto"/>
      </w:divBdr>
    </w:div>
    <w:div w:id="1573151247">
      <w:bodyDiv w:val="1"/>
      <w:marLeft w:val="0"/>
      <w:marRight w:val="0"/>
      <w:marTop w:val="0"/>
      <w:marBottom w:val="0"/>
      <w:divBdr>
        <w:top w:val="none" w:sz="0" w:space="0" w:color="auto"/>
        <w:left w:val="none" w:sz="0" w:space="0" w:color="auto"/>
        <w:bottom w:val="none" w:sz="0" w:space="0" w:color="auto"/>
        <w:right w:val="none" w:sz="0" w:space="0" w:color="auto"/>
      </w:divBdr>
    </w:div>
    <w:div w:id="1702975150">
      <w:bodyDiv w:val="1"/>
      <w:marLeft w:val="0"/>
      <w:marRight w:val="0"/>
      <w:marTop w:val="0"/>
      <w:marBottom w:val="0"/>
      <w:divBdr>
        <w:top w:val="none" w:sz="0" w:space="0" w:color="auto"/>
        <w:left w:val="none" w:sz="0" w:space="0" w:color="auto"/>
        <w:bottom w:val="none" w:sz="0" w:space="0" w:color="auto"/>
        <w:right w:val="none" w:sz="0" w:space="0" w:color="auto"/>
      </w:divBdr>
    </w:div>
    <w:div w:id="1732388450">
      <w:bodyDiv w:val="1"/>
      <w:marLeft w:val="0"/>
      <w:marRight w:val="0"/>
      <w:marTop w:val="0"/>
      <w:marBottom w:val="0"/>
      <w:divBdr>
        <w:top w:val="none" w:sz="0" w:space="0" w:color="auto"/>
        <w:left w:val="none" w:sz="0" w:space="0" w:color="auto"/>
        <w:bottom w:val="none" w:sz="0" w:space="0" w:color="auto"/>
        <w:right w:val="none" w:sz="0" w:space="0" w:color="auto"/>
      </w:divBdr>
    </w:div>
    <w:div w:id="21287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merfinance.gov/data-research/small-business-lending/filing-instructions-guide/" TargetMode="External"/><Relationship Id="rId5" Type="http://schemas.openxmlformats.org/officeDocument/2006/relationships/webSettings" Target="webSettings.xml"/><Relationship Id="rId10" Type="http://schemas.openxmlformats.org/officeDocument/2006/relationships/hyperlink" Target="https://www.consumerfinance.gov/data-research/small-business-lending/filing-instructions-guide/" TargetMode="External"/><Relationship Id="rId4" Type="http://schemas.openxmlformats.org/officeDocument/2006/relationships/settings" Target="settings.xml"/><Relationship Id="rId9" Type="http://schemas.openxmlformats.org/officeDocument/2006/relationships/hyperlink" Target="https://www.consumerfinance.gov/rules-policy/final-rules/small-business-lending-under-the-equal-credit-opportunity-act-regulation-b/"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352DE-D4DB-4771-9A4F-BF6A3909A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4638</Words>
  <Characters>26440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Garcia Maggio</dc:creator>
  <cp:lastModifiedBy>Compliance Alliance</cp:lastModifiedBy>
  <cp:revision>5</cp:revision>
  <cp:lastPrinted>2018-10-30T18:27:00Z</cp:lastPrinted>
  <dcterms:created xsi:type="dcterms:W3CDTF">2023-04-07T18:43:00Z</dcterms:created>
  <dcterms:modified xsi:type="dcterms:W3CDTF">2023-04-11T18:02:00Z</dcterms:modified>
</cp:coreProperties>
</file>